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B023" w14:textId="77777777" w:rsidR="00A47D06" w:rsidRPr="00A47D06" w:rsidRDefault="00A47D06" w:rsidP="00A47D06">
      <w:pPr>
        <w:keepNext/>
        <w:keepLines/>
        <w:spacing w:before="240" w:after="0" w:line="259" w:lineRule="auto"/>
        <w:outlineLvl w:val="0"/>
        <w:rPr>
          <w:rFonts w:ascii="Calibri Light" w:eastAsia="Yu Gothic Light" w:hAnsi="Calibri Light" w:cs="Times New Roman"/>
          <w:color w:val="2F5496"/>
          <w:kern w:val="0"/>
          <w:sz w:val="32"/>
          <w:szCs w:val="32"/>
          <w14:ligatures w14:val="none"/>
        </w:rPr>
      </w:pPr>
      <w:r w:rsidRPr="00A47D06">
        <w:rPr>
          <w:rFonts w:ascii="Calibri Light" w:eastAsia="Yu Gothic Light" w:hAnsi="Calibri Light" w:cs="Times New Roman"/>
          <w:color w:val="2F5496"/>
          <w:kern w:val="0"/>
          <w:sz w:val="32"/>
          <w:szCs w:val="32"/>
          <w14:ligatures w14:val="none"/>
        </w:rPr>
        <w:t>Handreiking thema 9: Solidariteit</w:t>
      </w:r>
    </w:p>
    <w:p w14:paraId="3CF1F513"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2953A2E2" w14:textId="77777777" w:rsidR="00A47D06" w:rsidRPr="00A47D06" w:rsidRDefault="00A47D06" w:rsidP="00A47D0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A47D06">
        <w:rPr>
          <w:rFonts w:ascii="Calibri Light" w:eastAsia="Yu Gothic Light" w:hAnsi="Calibri Light" w:cs="Times New Roman"/>
          <w:color w:val="2F5496"/>
          <w:kern w:val="0"/>
          <w:sz w:val="26"/>
          <w:szCs w:val="26"/>
          <w14:ligatures w14:val="none"/>
        </w:rPr>
        <w:t>Introductie</w:t>
      </w:r>
    </w:p>
    <w:p w14:paraId="089C8ECC"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Solidariteit is een thema dat leerlingen dagelijks tegenkomen. Ze zien het bijvoorbeeld terug in de manier waarop de overheid mensen ondersteunt bij ziekte, werkloosheid, ouderdom of een laag inkomen. Ook in hun eigen omgeving komen vragen naar voren over helpen, verantwoordelijkheid nemen en eerlijk delen. In deze lessenserie verkennen leerlingen solidariteit vanuit een economisch perspectief, ingebed in de christelijke visie op zorg voor de naaste en verantwoordelijkheid.</w:t>
      </w:r>
    </w:p>
    <w:p w14:paraId="791EE1A7"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Het thema Solidariteit is opgebouwd rond de werking van de sociale zekerheid. Leerlingen ontdekken waarom de overheid een sociaal vangnet organiseert en maken kennis met sociale voorzieningen, sociale verzekeringen, toeslagen en uitkeringen. Tegelijkertijd worden de grenzen en dilemma’s van het stelsel zichtbaar. Fraude, controle en vertrouwen staan tegenover de vraag hoe voorkomen kan worden dat mensen die hulp nodig hebben tussen wal en schip vallen.</w:t>
      </w:r>
    </w:p>
    <w:p w14:paraId="30C3B0B1"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In dit geheel wil de Didactische Diamant richting geven aan het onderwijs. Verwondering, verbinding, verantwoordelijkheid en vorming lopen als een rode draad door de lessen heen. Door herkenbare situaties en dilemma’s te bespreken, verschillende perspectieven te onderzoeken en leerlingen te laten nadenken over hun eigen verantwoordelijkheid, ontstaat ruimte voor economische én morele vorming. Het doel is niet alleen kennis van de sociale zekerheid, maar ook nadenken over de vraag hoe we als samenleving voor elkaar zorgen.</w:t>
      </w:r>
    </w:p>
    <w:p w14:paraId="5E5E34DD"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5F1EF5D3" w14:textId="77777777" w:rsidR="00A47D06" w:rsidRPr="00A47D06" w:rsidRDefault="00A47D06" w:rsidP="00A47D0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A47D06">
        <w:rPr>
          <w:rFonts w:ascii="Calibri Light" w:eastAsia="Yu Gothic Light" w:hAnsi="Calibri Light" w:cs="Times New Roman"/>
          <w:color w:val="2F5496"/>
          <w:kern w:val="0"/>
          <w:sz w:val="26"/>
          <w:szCs w:val="26"/>
          <w14:ligatures w14:val="none"/>
        </w:rPr>
        <w:t>Kernnoties</w:t>
      </w:r>
    </w:p>
    <w:p w14:paraId="41C97CF0"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Solidariteit en verantwoordelijkheid</w:t>
      </w:r>
    </w:p>
    <w:p w14:paraId="69CAE27E"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Solidariteit betekent dat mensen verantwoordelijkheid voor elkaar nemen, ook wanneer dat niet direct in hun eigen belang is. In een samenleving dragen mensen samen verantwoordelijkheid voor mensen die tijdelijk of blijvend ondersteuning nodig hebben. Tegelijkertijd vraagt solidariteit ook om verantwoordelijkheid van degene die ondersteuning ontvangt. Daarmee ontstaat een spanningsveld tussen rechten, plichten, geven en ontvangen.</w:t>
      </w:r>
    </w:p>
    <w:p w14:paraId="275FFDC7"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De centrale beweging is die van “ik” naar “wij” en van “alleen” naar “samen”. Leerlingen leren zien dat economische keuzes niet alleen gevolgen hebben voor henzelf, maar ook voor anderen. Solidariteit vraagt daarom om oog voor de naaste én om het nemen van eigen verantwoordelijkheid.</w:t>
      </w:r>
    </w:p>
    <w:p w14:paraId="28977464"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5558E38A"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De rol van de overheid: een sociaal vangnet</w:t>
      </w:r>
    </w:p>
    <w:p w14:paraId="4E1DFC59"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 xml:space="preserve">De overheid organiseert een stelsel van sociale zekerheid om mensen te beschermen tegen bepaalde sociale en financiële risico’s. Leerlingen maken onderscheid tussen sociale verzekeringen en sociale voorzieningen en leren voorbeelden kennen zoals AOW, WW, WIA, </w:t>
      </w:r>
      <w:proofErr w:type="spellStart"/>
      <w:r w:rsidRPr="00A47D06">
        <w:rPr>
          <w:rFonts w:ascii="Verdana" w:eastAsia="Calibri" w:hAnsi="Verdana" w:cs="Times New Roman"/>
          <w:kern w:val="0"/>
          <w:sz w:val="20"/>
          <w:szCs w:val="22"/>
          <w14:ligatures w14:val="none"/>
        </w:rPr>
        <w:t>Wlz</w:t>
      </w:r>
      <w:proofErr w:type="spellEnd"/>
      <w:r w:rsidRPr="00A47D06">
        <w:rPr>
          <w:rFonts w:ascii="Verdana" w:eastAsia="Calibri" w:hAnsi="Verdana" w:cs="Times New Roman"/>
          <w:kern w:val="0"/>
          <w:sz w:val="20"/>
          <w:szCs w:val="22"/>
          <w14:ligatures w14:val="none"/>
        </w:rPr>
        <w:t>, bijstand en toeslagen. Zo wordt zichtbaar hoe de overheid probeert bestaanszekerheid en ondersteuning te organiseren.</w:t>
      </w:r>
    </w:p>
    <w:p w14:paraId="6F66CCA7"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De overheid staat daarbij voor lastige keuzes. Zij moet mensen die hulp nodig hebben ondersteunen, maar ook controleren of regelingen eerlijk en zorgvuldig worden gebruikt. Te weinig controle kan fraude en misbruik in de hand werken; te veel of te strenge controle kan ertoe leiden dat mensen die recht hebben op ondersteuning worden benadeeld.</w:t>
      </w:r>
    </w:p>
    <w:p w14:paraId="55C61934"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2BC1C785"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Spanning tussen vertrouwen, controle en rechtvaardigheid</w:t>
      </w:r>
    </w:p>
    <w:p w14:paraId="440FF4CF"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Binnen de sociale zekerheid bestaat een voortdurende spanning tussen vertrouwen en controle. De overheid wil voorkomen dat regelingen worden misbruikt, maar burgers moeten erop kunnen vertrouwen dat zij eerlijk en zorgvuldig worden behandeld. De toeslagenaffaire laat zien dat strenge controle en het bestrijden van fraude grote gevolgen kunnen hebben wanneer mensen onterecht als fraudeur worden aangemerkt.</w:t>
      </w:r>
    </w:p>
    <w:p w14:paraId="332F8B95"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lastRenderedPageBreak/>
        <w:t>Een andere kant van het vraagstuk is het niet-gebruik van voorzieningen. Mensen kunnen ondersteuning nodig hebben, maar daar geen gebruik van maken omdat zij de regelingen niet kennen, de aanvraag te ingewikkeld vinden of zich ervoor schamen. Solidariteit vraagt daarom niet alleen om regels en geld, maar ook om aandacht voor de mensen die met deze regelingen te maken hebben.</w:t>
      </w:r>
    </w:p>
    <w:p w14:paraId="420A9990"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2BB1F943"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Bijbelse visie op zorg en verantwoordelijkheid</w:t>
      </w:r>
    </w:p>
    <w:p w14:paraId="65B451E9"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De Bijbel roept op tot zorg voor mensen die arm of kwetsbaar zijn. In Deuteronomium 15:11 wordt opgeroepen de hand wijd open te doen voor de arme. Leviticus 19:9-10 laat zien dat er bij het oogsten ruimte moest blijven voor armen en vreemdelingen. Spreuken 19:17 verbindt ontferming over de arme met dienst aan God.</w:t>
      </w:r>
    </w:p>
    <w:p w14:paraId="51B737ED"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Tegelijkertijd wordt in de Bijbel ook gewezen op persoonlijke verantwoordelijkheid en arbeid. Spreuken 6:6-8 benadrukt de ijver van de mier en 2 Thessalonicenzen 3:10 benoemt de verantwoordelijkheid om te werken wanneer dat mogelijk is. Bijbelse solidariteit is daarmee geen eenzijdig recht op hulp, maar vraagt om zorg voor de ander én om verantwoordelijkheid nemen waar dat mogelijk is.</w:t>
      </w:r>
    </w:p>
    <w:p w14:paraId="7CE96898"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215E85D5" w14:textId="77777777" w:rsidR="00A47D06" w:rsidRPr="00A47D06" w:rsidRDefault="00A47D06" w:rsidP="00A47D06">
      <w:pPr>
        <w:keepNext/>
        <w:keepLines/>
        <w:spacing w:before="40" w:after="0" w:line="240" w:lineRule="auto"/>
        <w:outlineLvl w:val="1"/>
        <w:rPr>
          <w:rFonts w:ascii="Calibri Light" w:eastAsia="Yu Gothic Light" w:hAnsi="Calibri Light" w:cs="Times New Roman"/>
          <w:color w:val="2F5496"/>
          <w:kern w:val="0"/>
          <w:sz w:val="26"/>
          <w:szCs w:val="26"/>
          <w14:ligatures w14:val="none"/>
        </w:rPr>
      </w:pPr>
      <w:r w:rsidRPr="00A47D06">
        <w:rPr>
          <w:rFonts w:ascii="Calibri Light" w:eastAsia="Yu Gothic Light" w:hAnsi="Calibri Light" w:cs="Times New Roman"/>
          <w:color w:val="2F5496"/>
          <w:kern w:val="0"/>
          <w:sz w:val="26"/>
          <w:szCs w:val="26"/>
          <w14:ligatures w14:val="none"/>
        </w:rPr>
        <w:t>Achtergrondinformatie en algemene suggesties</w:t>
      </w:r>
    </w:p>
    <w:p w14:paraId="42410489"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Sociale zekerheid</w:t>
      </w:r>
    </w:p>
    <w:p w14:paraId="5357D289"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 xml:space="preserve">Sociale zekerheid is het geheel van regelingen waarmee mensen worden ondersteund wanneer zij te maken krijgen met bijvoorbeeld werkloosheid, ziekte, arbeidsongeschiktheid of ouderdom. Binnen het stelsel kan onderscheid worden gemaakt tussen sociale verzekeringen en sociale voorzieningen. Voorbeelden die in de lessen aan de orde komen zijn AOW, WW, WIA, </w:t>
      </w:r>
      <w:proofErr w:type="spellStart"/>
      <w:r w:rsidRPr="00A47D06">
        <w:rPr>
          <w:rFonts w:ascii="Verdana" w:eastAsia="Calibri" w:hAnsi="Verdana" w:cs="Times New Roman"/>
          <w:kern w:val="0"/>
          <w:sz w:val="20"/>
          <w:szCs w:val="22"/>
          <w14:ligatures w14:val="none"/>
        </w:rPr>
        <w:t>Wlz</w:t>
      </w:r>
      <w:proofErr w:type="spellEnd"/>
      <w:r w:rsidRPr="00A47D06">
        <w:rPr>
          <w:rFonts w:ascii="Verdana" w:eastAsia="Calibri" w:hAnsi="Verdana" w:cs="Times New Roman"/>
          <w:kern w:val="0"/>
          <w:sz w:val="20"/>
          <w:szCs w:val="22"/>
          <w14:ligatures w14:val="none"/>
        </w:rPr>
        <w:t>, bijstand en toeslagen.</w:t>
      </w:r>
    </w:p>
    <w:p w14:paraId="6B34B8A5"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609C7AD7"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Solidariteit in de praktijk</w:t>
      </w:r>
    </w:p>
    <w:p w14:paraId="6E216F55"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De sociale zekerheid maakt solidariteit zichtbaar in concrete geldstromen en regelingen. Mensen betalen mee aan het stelsel en kunnen op een ander moment zelf ondersteuning ontvangen. Leerlingen kunnen onderzoeken vanuit verschillende perspectieven: dat van de burger die ondersteuning nodig heeft, de overheid die regels uitvoert en de samenleving die de kosten gezamenlijk draagt.</w:t>
      </w:r>
    </w:p>
    <w:p w14:paraId="13B8F8EE"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3A328F6A"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Fraude, controle en niet-gebruik</w:t>
      </w:r>
    </w:p>
    <w:p w14:paraId="40B49DE4"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Fraude en misbruik vormen een belangrijk aandachtspunt binnen de sociale zekerheid. Tegelijkertijd kan controle ook onbedoeld mensen raken die niets verkeerd hebben gedaan. Daarnaast bestaat het probleem van niet-gebruik: mensen die wel recht hebben op een voorziening of toeslag vragen deze niet aan. Deze verschillende situaties bieden goede aanknopingspunten voor gesprekken en rollenspellen waarin leerlingen meerdere perspectieven leren innemen.</w:t>
      </w:r>
    </w:p>
    <w:p w14:paraId="6C19F922"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3B778E3B" w14:textId="77777777" w:rsidR="00A47D06" w:rsidRPr="00A47D06" w:rsidRDefault="00A47D06" w:rsidP="00A47D06">
      <w:pPr>
        <w:spacing w:after="0" w:line="240" w:lineRule="auto"/>
        <w:rPr>
          <w:rFonts w:ascii="Verdana" w:eastAsia="Calibri" w:hAnsi="Verdana" w:cs="Times New Roman"/>
          <w:b/>
          <w:bCs/>
          <w:kern w:val="0"/>
          <w:sz w:val="20"/>
          <w:szCs w:val="22"/>
          <w14:ligatures w14:val="none"/>
        </w:rPr>
      </w:pPr>
      <w:r w:rsidRPr="00A47D06">
        <w:rPr>
          <w:rFonts w:ascii="Verdana" w:eastAsia="Calibri" w:hAnsi="Verdana" w:cs="Times New Roman"/>
          <w:b/>
          <w:bCs/>
          <w:kern w:val="0"/>
          <w:sz w:val="20"/>
          <w:szCs w:val="22"/>
          <w14:ligatures w14:val="none"/>
        </w:rPr>
        <w:t>Bijbelse kaderteksten</w:t>
      </w:r>
    </w:p>
    <w:p w14:paraId="74983117"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Deuteronomium 15:11: oproep tot vrijgevigheid en zorg voor armen.</w:t>
      </w:r>
    </w:p>
    <w:p w14:paraId="0DA04063"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Leviticus 19:9-10: ruimte maken voor armen en vreemdelingen.</w:t>
      </w:r>
    </w:p>
    <w:p w14:paraId="57D2C159"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Spreuken 6:6-8: ijver en verantwoordelijkheid nemen.</w:t>
      </w:r>
    </w:p>
    <w:p w14:paraId="4B5053B0"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Spreuken 19:17: ontferming over de arme.</w:t>
      </w:r>
    </w:p>
    <w:p w14:paraId="63A77767"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2 Thessalonicenzen 3:10: verantwoordelijkheid om te werken waar dat mogelijk is.</w:t>
      </w:r>
    </w:p>
    <w:p w14:paraId="2A9C9CE9"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p>
    <w:p w14:paraId="553C5F19" w14:textId="77777777" w:rsidR="00A47D06" w:rsidRPr="00A47D06" w:rsidRDefault="00A47D06" w:rsidP="00A47D06">
      <w:pPr>
        <w:spacing w:after="0" w:line="240" w:lineRule="auto"/>
        <w:rPr>
          <w:rFonts w:ascii="Verdana" w:eastAsia="Calibri" w:hAnsi="Verdana" w:cs="Times New Roman"/>
          <w:kern w:val="0"/>
          <w:sz w:val="20"/>
          <w:szCs w:val="22"/>
          <w14:ligatures w14:val="none"/>
        </w:rPr>
      </w:pPr>
      <w:r w:rsidRPr="00A47D06">
        <w:rPr>
          <w:rFonts w:ascii="Verdana" w:eastAsia="Calibri" w:hAnsi="Verdana" w:cs="Times New Roman"/>
          <w:kern w:val="0"/>
          <w:sz w:val="20"/>
          <w:szCs w:val="22"/>
          <w14:ligatures w14:val="none"/>
        </w:rPr>
        <w:t xml:space="preserve">Deze teksten helpen leerlingen om economische kennis over sociale zekerheid te verbinden met de Bijbelse opdracht tot zorg voor de naaste en het nemen van eigen verantwoordelijkheid. </w:t>
      </w:r>
    </w:p>
    <w:p w14:paraId="10D7CB77" w14:textId="77777777" w:rsidR="001D5C6C" w:rsidRDefault="001D5C6C"/>
    <w:sectPr w:rsidR="001D5C6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C6C"/>
    <w:rsid w:val="001D5C6C"/>
    <w:rsid w:val="009D02EA"/>
    <w:rsid w:val="00A47D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C3C25"/>
  <w15:chartTrackingRefBased/>
  <w15:docId w15:val="{A01D2A95-1CCC-4CE1-9320-91531EA9F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D5C6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D5C6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D5C6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D5C6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D5C6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D5C6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D5C6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D5C6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D5C6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D5C6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D5C6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D5C6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D5C6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D5C6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D5C6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D5C6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D5C6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D5C6C"/>
    <w:rPr>
      <w:rFonts w:eastAsiaTheme="majorEastAsia" w:cstheme="majorBidi"/>
      <w:color w:val="272727" w:themeColor="text1" w:themeTint="D8"/>
    </w:rPr>
  </w:style>
  <w:style w:type="paragraph" w:styleId="Titel">
    <w:name w:val="Title"/>
    <w:basedOn w:val="Standaard"/>
    <w:next w:val="Standaard"/>
    <w:link w:val="TitelChar"/>
    <w:uiPriority w:val="10"/>
    <w:qFormat/>
    <w:rsid w:val="001D5C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D5C6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D5C6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D5C6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D5C6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D5C6C"/>
    <w:rPr>
      <w:i/>
      <w:iCs/>
      <w:color w:val="404040" w:themeColor="text1" w:themeTint="BF"/>
    </w:rPr>
  </w:style>
  <w:style w:type="paragraph" w:styleId="Lijstalinea">
    <w:name w:val="List Paragraph"/>
    <w:basedOn w:val="Standaard"/>
    <w:uiPriority w:val="34"/>
    <w:qFormat/>
    <w:rsid w:val="001D5C6C"/>
    <w:pPr>
      <w:ind w:left="720"/>
      <w:contextualSpacing/>
    </w:pPr>
  </w:style>
  <w:style w:type="character" w:styleId="Intensievebenadrukking">
    <w:name w:val="Intense Emphasis"/>
    <w:basedOn w:val="Standaardalinea-lettertype"/>
    <w:uiPriority w:val="21"/>
    <w:qFormat/>
    <w:rsid w:val="001D5C6C"/>
    <w:rPr>
      <w:i/>
      <w:iCs/>
      <w:color w:val="0F4761" w:themeColor="accent1" w:themeShade="BF"/>
    </w:rPr>
  </w:style>
  <w:style w:type="paragraph" w:styleId="Duidelijkcitaat">
    <w:name w:val="Intense Quote"/>
    <w:basedOn w:val="Standaard"/>
    <w:next w:val="Standaard"/>
    <w:link w:val="DuidelijkcitaatChar"/>
    <w:uiPriority w:val="30"/>
    <w:qFormat/>
    <w:rsid w:val="001D5C6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D5C6C"/>
    <w:rPr>
      <w:i/>
      <w:iCs/>
      <w:color w:val="0F4761" w:themeColor="accent1" w:themeShade="BF"/>
    </w:rPr>
  </w:style>
  <w:style w:type="character" w:styleId="Intensieveverwijzing">
    <w:name w:val="Intense Reference"/>
    <w:basedOn w:val="Standaardalinea-lettertype"/>
    <w:uiPriority w:val="32"/>
    <w:qFormat/>
    <w:rsid w:val="001D5C6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1000</Words>
  <Characters>5505</Characters>
  <Application>Microsoft Office Word</Application>
  <DocSecurity>0</DocSecurity>
  <Lines>45</Lines>
  <Paragraphs>12</Paragraphs>
  <ScaleCrop>false</ScaleCrop>
  <Company/>
  <LinksUpToDate>false</LinksUpToDate>
  <CharactersWithSpaces>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Blom, Reindert</dc:creator>
  <cp:keywords/>
  <dc:description/>
  <cp:lastModifiedBy>Blom, Reindert</cp:lastModifiedBy>
  <cp:revision>2</cp:revision>
  <dcterms:created xsi:type="dcterms:W3CDTF">2026-09-15T08:16:00Z</dcterms:created>
  <dcterms:modified xsi:type="dcterms:W3CDTF">2026-09-15T08:16:00Z</dcterms:modified>
</cp:coreProperties>
</file>