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4337" w14:textId="77777777" w:rsidR="009A3C5E" w:rsidRPr="009A3C5E" w:rsidRDefault="009A3C5E" w:rsidP="009A3C5E">
      <w:pPr>
        <w:keepNext/>
        <w:keepLines/>
        <w:spacing w:before="240" w:after="0" w:line="259" w:lineRule="auto"/>
        <w:outlineLvl w:val="0"/>
        <w:rPr>
          <w:rFonts w:ascii="Calibri Light" w:eastAsia="Yu Gothic Light" w:hAnsi="Calibri Light" w:cs="Times New Roman"/>
          <w:color w:val="2F5496"/>
          <w:kern w:val="0"/>
          <w:sz w:val="32"/>
          <w:szCs w:val="32"/>
          <w14:ligatures w14:val="none"/>
        </w:rPr>
      </w:pPr>
      <w:bookmarkStart w:id="0" w:name="_Toc1845274612"/>
      <w:r w:rsidRPr="009A3C5E">
        <w:rPr>
          <w:rFonts w:ascii="Calibri Light" w:eastAsia="Yu Gothic Light" w:hAnsi="Calibri Light" w:cs="Times New Roman"/>
          <w:color w:val="2F5496"/>
          <w:kern w:val="0"/>
          <w:sz w:val="32"/>
          <w:szCs w:val="32"/>
          <w14:ligatures w14:val="none"/>
        </w:rPr>
        <w:t>Handreiking thema 7:</w:t>
      </w:r>
      <w:bookmarkEnd w:id="0"/>
      <w:r w:rsidRPr="009A3C5E">
        <w:rPr>
          <w:rFonts w:ascii="Calibri Light" w:eastAsia="Yu Gothic Light" w:hAnsi="Calibri Light" w:cs="Times New Roman"/>
          <w:color w:val="2F5496"/>
          <w:kern w:val="0"/>
          <w:sz w:val="32"/>
          <w:szCs w:val="32"/>
          <w14:ligatures w14:val="none"/>
        </w:rPr>
        <w:t xml:space="preserve"> Belasting</w:t>
      </w:r>
    </w:p>
    <w:p w14:paraId="0ECE750B"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p>
    <w:p w14:paraId="216CD53B" w14:textId="77777777" w:rsidR="009A3C5E" w:rsidRPr="009A3C5E" w:rsidRDefault="009A3C5E" w:rsidP="009A3C5E">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1" w:name="_Toc2101482921"/>
      <w:r w:rsidRPr="009A3C5E">
        <w:rPr>
          <w:rFonts w:ascii="Calibri Light" w:eastAsia="Yu Gothic Light" w:hAnsi="Calibri Light" w:cs="Times New Roman"/>
          <w:color w:val="2F5496"/>
          <w:kern w:val="0"/>
          <w:sz w:val="26"/>
          <w:szCs w:val="26"/>
          <w14:ligatures w14:val="none"/>
        </w:rPr>
        <w:t>Introductie</w:t>
      </w:r>
      <w:bookmarkEnd w:id="1"/>
    </w:p>
    <w:p w14:paraId="673CEEAE"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r w:rsidRPr="009A3C5E">
        <w:rPr>
          <w:rFonts w:ascii="Verdana" w:eastAsia="Calibri" w:hAnsi="Verdana" w:cs="Times New Roman"/>
          <w:kern w:val="0"/>
          <w:sz w:val="20"/>
          <w:szCs w:val="22"/>
          <w14:ligatures w14:val="none"/>
        </w:rPr>
        <w:t>In deze les worden leerlingen aan het denken gezet over het betalen van belasting en de gevolgen van meeliftgedrag. Door middel van een interactief spel met Skip-Bo-kaarten ervaren zij de basisprincipes van belastingen en ontdekken ze in de praktijk waarom van iedereen een bijdrage wordt verwacht. De leerlingen ervaren direct dat het 'wegduiken' voor deze financiële verantwoordelijkheid nadelig en oneerlijk is richting de rest van de groep. De les biedt een brug tussen het economische concept van collectieve goederen en de reflectie op het eigen morele handelen, opgebouwd volgens de didactische diamant.</w:t>
      </w:r>
    </w:p>
    <w:p w14:paraId="279D7688"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p>
    <w:p w14:paraId="5ED919C5" w14:textId="77777777" w:rsidR="009A3C5E" w:rsidRPr="009A3C5E" w:rsidRDefault="009A3C5E" w:rsidP="009A3C5E">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2" w:name="_Toc1670805827"/>
      <w:r w:rsidRPr="009A3C5E">
        <w:rPr>
          <w:rFonts w:ascii="Calibri Light" w:eastAsia="Yu Gothic Light" w:hAnsi="Calibri Light" w:cs="Times New Roman"/>
          <w:color w:val="2F5496"/>
          <w:kern w:val="0"/>
          <w:sz w:val="26"/>
          <w:szCs w:val="26"/>
          <w14:ligatures w14:val="none"/>
        </w:rPr>
        <w:t>Kernnoties</w:t>
      </w:r>
      <w:bookmarkEnd w:id="2"/>
    </w:p>
    <w:p w14:paraId="49BE76A7" w14:textId="77777777" w:rsidR="009A3C5E" w:rsidRPr="009A3C5E" w:rsidRDefault="009A3C5E" w:rsidP="009A3C5E">
      <w:pPr>
        <w:numPr>
          <w:ilvl w:val="0"/>
          <w:numId w:val="1"/>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b/>
          <w:bCs/>
          <w:kern w:val="0"/>
          <w:sz w:val="20"/>
          <w:szCs w:val="22"/>
          <w14:ligatures w14:val="none"/>
        </w:rPr>
        <w:t>Belasting en Collectieve Goederen:</w:t>
      </w:r>
      <w:r w:rsidRPr="009A3C5E">
        <w:rPr>
          <w:rFonts w:ascii="Verdana" w:eastAsia="Calibri" w:hAnsi="Verdana" w:cs="Times New Roman"/>
          <w:kern w:val="0"/>
          <w:sz w:val="20"/>
          <w:szCs w:val="22"/>
          <w14:ligatures w14:val="none"/>
        </w:rPr>
        <w:t xml:space="preserve"> Belasting is een noodzakelijke bijdrage van burgers om gezamenlijke voorzieningen, zoals politie, scholen en ziekenhuizen, te kunnen betalen. Doelstelling: Leerlingen weten waarom we in een land belasting betalen. </w:t>
      </w:r>
    </w:p>
    <w:p w14:paraId="2ADAC793" w14:textId="77777777" w:rsidR="009A3C5E" w:rsidRPr="009A3C5E" w:rsidRDefault="009A3C5E" w:rsidP="009A3C5E">
      <w:pPr>
        <w:numPr>
          <w:ilvl w:val="0"/>
          <w:numId w:val="1"/>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b/>
          <w:bCs/>
          <w:kern w:val="0"/>
          <w:sz w:val="20"/>
          <w:szCs w:val="22"/>
          <w14:ligatures w14:val="none"/>
        </w:rPr>
        <w:t>Meeliftgedrag (Free-</w:t>
      </w:r>
      <w:proofErr w:type="spellStart"/>
      <w:r w:rsidRPr="009A3C5E">
        <w:rPr>
          <w:rFonts w:ascii="Verdana" w:eastAsia="Calibri" w:hAnsi="Verdana" w:cs="Times New Roman"/>
          <w:b/>
          <w:bCs/>
          <w:kern w:val="0"/>
          <w:sz w:val="20"/>
          <w:szCs w:val="22"/>
          <w14:ligatures w14:val="none"/>
        </w:rPr>
        <w:t>riders</w:t>
      </w:r>
      <w:proofErr w:type="spellEnd"/>
      <w:r w:rsidRPr="009A3C5E">
        <w:rPr>
          <w:rFonts w:ascii="Verdana" w:eastAsia="Calibri" w:hAnsi="Verdana" w:cs="Times New Roman"/>
          <w:b/>
          <w:bCs/>
          <w:kern w:val="0"/>
          <w:sz w:val="20"/>
          <w:szCs w:val="22"/>
          <w14:ligatures w14:val="none"/>
        </w:rPr>
        <w:t>):</w:t>
      </w:r>
      <w:r w:rsidRPr="009A3C5E">
        <w:rPr>
          <w:rFonts w:ascii="Verdana" w:eastAsia="Calibri" w:hAnsi="Verdana" w:cs="Times New Roman"/>
          <w:kern w:val="0"/>
          <w:sz w:val="20"/>
          <w:szCs w:val="22"/>
          <w14:ligatures w14:val="none"/>
        </w:rPr>
        <w:t xml:space="preserve"> Het gedrag waarbij iemand zelf niet bijdraagt aan het collectief (in het spel: door groene kaarten te spelen), maar wel profiteert van de opbrengsten die door anderen worden ingeleverd. Doelstelling: Leerlingen ervaren hoe het is als er sprake is van meeliftgedrag in een groep. </w:t>
      </w:r>
    </w:p>
    <w:p w14:paraId="26272340" w14:textId="77777777" w:rsidR="009A3C5E" w:rsidRPr="009A3C5E" w:rsidRDefault="009A3C5E" w:rsidP="009A3C5E">
      <w:pPr>
        <w:numPr>
          <w:ilvl w:val="0"/>
          <w:numId w:val="1"/>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b/>
          <w:bCs/>
          <w:kern w:val="0"/>
          <w:sz w:val="20"/>
          <w:szCs w:val="22"/>
          <w14:ligatures w14:val="none"/>
        </w:rPr>
        <w:t>Levensbeschouwelijk Perspectief</w:t>
      </w:r>
      <w:r w:rsidRPr="009A3C5E">
        <w:rPr>
          <w:rFonts w:ascii="Verdana" w:eastAsia="Calibri" w:hAnsi="Verdana" w:cs="Times New Roman"/>
          <w:kern w:val="0"/>
          <w:sz w:val="20"/>
          <w:szCs w:val="22"/>
          <w14:ligatures w14:val="none"/>
        </w:rPr>
        <w:t>: Nadenken over solidariteit, eerlijkheid en je eigen verantwoordelijkheid richting anderen in de samenleving. Doelstelling: Leerlingen kunnen beargumenteren waarom zij als christen belasting betalen.</w:t>
      </w:r>
    </w:p>
    <w:p w14:paraId="468027B7"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p>
    <w:p w14:paraId="3D806CAD" w14:textId="77777777" w:rsidR="009A3C5E" w:rsidRPr="009A3C5E" w:rsidRDefault="009A3C5E" w:rsidP="009A3C5E">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3" w:name="_Toc2090617035"/>
      <w:r w:rsidRPr="009A3C5E">
        <w:rPr>
          <w:rFonts w:ascii="Calibri Light" w:eastAsia="Yu Gothic Light" w:hAnsi="Calibri Light" w:cs="Times New Roman"/>
          <w:color w:val="2F5496"/>
          <w:kern w:val="0"/>
          <w:sz w:val="26"/>
          <w:szCs w:val="26"/>
          <w14:ligatures w14:val="none"/>
        </w:rPr>
        <w:t>Gesprekspunten vakgroep</w:t>
      </w:r>
      <w:bookmarkEnd w:id="3"/>
    </w:p>
    <w:p w14:paraId="02D5F07C" w14:textId="77777777" w:rsidR="009A3C5E" w:rsidRPr="009A3C5E" w:rsidRDefault="009A3C5E" w:rsidP="009A3C5E">
      <w:pPr>
        <w:numPr>
          <w:ilvl w:val="0"/>
          <w:numId w:val="2"/>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b/>
          <w:bCs/>
          <w:kern w:val="0"/>
          <w:sz w:val="20"/>
          <w:szCs w:val="22"/>
          <w14:ligatures w14:val="none"/>
        </w:rPr>
        <w:t>Reflectie en Gedrag:</w:t>
      </w:r>
      <w:r w:rsidRPr="009A3C5E">
        <w:rPr>
          <w:rFonts w:ascii="Verdana" w:eastAsia="Calibri" w:hAnsi="Verdana" w:cs="Times New Roman"/>
          <w:kern w:val="0"/>
          <w:sz w:val="20"/>
          <w:szCs w:val="22"/>
          <w14:ligatures w14:val="none"/>
        </w:rPr>
        <w:t xml:space="preserve"> Hoe kunnen we de emoties en reacties die tijdens dit spel ontstaan (het gevoel van onrecht bij meeliftgedrag) effectief gebruiken wanneer we later complexere thema's zoals inkomensherverdeling en belastingfraude behandelen?</w:t>
      </w:r>
    </w:p>
    <w:p w14:paraId="64776B09" w14:textId="77777777" w:rsidR="009A3C5E" w:rsidRPr="009A3C5E" w:rsidRDefault="009A3C5E" w:rsidP="009A3C5E">
      <w:pPr>
        <w:numPr>
          <w:ilvl w:val="0"/>
          <w:numId w:val="2"/>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b/>
          <w:bCs/>
          <w:kern w:val="0"/>
          <w:sz w:val="20"/>
          <w:szCs w:val="22"/>
          <w14:ligatures w14:val="none"/>
        </w:rPr>
        <w:t>Christelijke vorming:</w:t>
      </w:r>
      <w:r w:rsidRPr="009A3C5E">
        <w:rPr>
          <w:rFonts w:ascii="Verdana" w:eastAsia="Calibri" w:hAnsi="Verdana" w:cs="Times New Roman"/>
          <w:kern w:val="0"/>
          <w:sz w:val="20"/>
          <w:szCs w:val="22"/>
          <w14:ligatures w14:val="none"/>
        </w:rPr>
        <w:t xml:space="preserve"> Op welke manier kunnen we de theologische of ethische verdieping over "waarom betaal ik belasting?" steviger inbedden in de theorie over de collectieve sector?</w:t>
      </w:r>
    </w:p>
    <w:p w14:paraId="545215A2" w14:textId="77777777" w:rsidR="009A3C5E" w:rsidRPr="009A3C5E" w:rsidRDefault="009A3C5E" w:rsidP="009A3C5E">
      <w:pPr>
        <w:numPr>
          <w:ilvl w:val="0"/>
          <w:numId w:val="2"/>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b/>
          <w:bCs/>
          <w:kern w:val="0"/>
          <w:sz w:val="20"/>
          <w:szCs w:val="22"/>
          <w14:ligatures w14:val="none"/>
        </w:rPr>
        <w:t>Differentiatie in het spel:</w:t>
      </w:r>
      <w:r w:rsidRPr="009A3C5E">
        <w:rPr>
          <w:rFonts w:ascii="Verdana" w:eastAsia="Calibri" w:hAnsi="Verdana" w:cs="Times New Roman"/>
          <w:kern w:val="0"/>
          <w:sz w:val="20"/>
          <w:szCs w:val="22"/>
          <w14:ligatures w14:val="none"/>
        </w:rPr>
        <w:t xml:space="preserve"> Hoe kunnen we de 'Klassenklets' spelregels aanpassen voor klassen die sterk uiteenlopen in dynamiek, om ervoor te zorgen dat de stilterondes goed werken?</w:t>
      </w:r>
    </w:p>
    <w:p w14:paraId="6C14BEC4"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p>
    <w:p w14:paraId="72E75A03" w14:textId="77777777" w:rsidR="009A3C5E" w:rsidRPr="009A3C5E" w:rsidRDefault="009A3C5E" w:rsidP="009A3C5E">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4" w:name="_Toc1513381843"/>
      <w:r w:rsidRPr="009A3C5E">
        <w:rPr>
          <w:rFonts w:ascii="Calibri Light" w:eastAsia="Yu Gothic Light" w:hAnsi="Calibri Light" w:cs="Times New Roman"/>
          <w:color w:val="2F5496"/>
          <w:kern w:val="0"/>
          <w:sz w:val="26"/>
          <w:szCs w:val="26"/>
          <w14:ligatures w14:val="none"/>
        </w:rPr>
        <w:t>Achtergrondinformatie en algemene suggesties</w:t>
      </w:r>
      <w:bookmarkEnd w:id="4"/>
    </w:p>
    <w:p w14:paraId="30752C30"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r w:rsidRPr="009A3C5E">
        <w:rPr>
          <w:rFonts w:ascii="Verdana" w:eastAsia="Calibri" w:hAnsi="Verdana" w:cs="Times New Roman"/>
          <w:kern w:val="0"/>
          <w:sz w:val="20"/>
          <w:szCs w:val="22"/>
          <w14:ligatures w14:val="none"/>
        </w:rPr>
        <w:t>Achtergrondinformatie:</w:t>
      </w:r>
    </w:p>
    <w:p w14:paraId="1A2CF419" w14:textId="77777777" w:rsidR="009A3C5E" w:rsidRPr="009A3C5E" w:rsidRDefault="009A3C5E" w:rsidP="009A3C5E">
      <w:pPr>
        <w:numPr>
          <w:ilvl w:val="0"/>
          <w:numId w:val="3"/>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kern w:val="0"/>
          <w:sz w:val="20"/>
          <w:szCs w:val="22"/>
          <w14:ligatures w14:val="none"/>
        </w:rPr>
        <w:t xml:space="preserve">De website Economielokaal (onderdeel 'Collectieve goederen') en het 'Collectieve goederenspel' van het Landelijk Expertisecentrum Economie en Handel kunnen geraadpleegd worden voor achtergrondinformatie en verdieping. </w:t>
      </w:r>
    </w:p>
    <w:p w14:paraId="499D2192"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p>
    <w:p w14:paraId="2C1DCA9D"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r w:rsidRPr="009A3C5E">
        <w:rPr>
          <w:rFonts w:ascii="Verdana" w:eastAsia="Calibri" w:hAnsi="Verdana" w:cs="Times New Roman"/>
          <w:kern w:val="0"/>
          <w:sz w:val="20"/>
          <w:szCs w:val="22"/>
          <w14:ligatures w14:val="none"/>
        </w:rPr>
        <w:t>Algemene Suggesties:</w:t>
      </w:r>
    </w:p>
    <w:p w14:paraId="0DF2A415" w14:textId="77777777" w:rsidR="009A3C5E" w:rsidRPr="009A3C5E" w:rsidRDefault="009A3C5E" w:rsidP="009A3C5E">
      <w:pPr>
        <w:numPr>
          <w:ilvl w:val="0"/>
          <w:numId w:val="3"/>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kern w:val="0"/>
          <w:sz w:val="20"/>
          <w:szCs w:val="22"/>
          <w14:ligatures w14:val="none"/>
        </w:rPr>
        <w:t xml:space="preserve">Voorbereiding: Gebruik een Skip-Bo-spel en geef elke leerling vier specifieke kaarten (twee groene met de nummers 5 t/m 8 en twee rode met de nummers 9 t/m 12) en een opbrengstenkaart. </w:t>
      </w:r>
    </w:p>
    <w:p w14:paraId="308D7233" w14:textId="77777777" w:rsidR="009A3C5E" w:rsidRPr="009A3C5E" w:rsidRDefault="009A3C5E" w:rsidP="009A3C5E">
      <w:pPr>
        <w:numPr>
          <w:ilvl w:val="0"/>
          <w:numId w:val="3"/>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kern w:val="0"/>
          <w:sz w:val="20"/>
          <w:szCs w:val="22"/>
          <w14:ligatures w14:val="none"/>
        </w:rPr>
        <w:t xml:space="preserve">Spanning opbouwen: Deel de speelrondes strategisch in. Gebruik de eerste vijf rondes een strikt praatverbod, zodat leerlingen in stilte beslissingen moeten nemen. In ronde 6 ("Klassenklets") krijgen ze twee minuten de tijd om afspraken te maken, waarna de laatste vier rondes testen wie deze afspraken voor eigen gewin verbreekt. </w:t>
      </w:r>
    </w:p>
    <w:p w14:paraId="3D62EDB0" w14:textId="77777777" w:rsidR="009A3C5E" w:rsidRPr="009A3C5E" w:rsidRDefault="009A3C5E" w:rsidP="009A3C5E">
      <w:pPr>
        <w:numPr>
          <w:ilvl w:val="0"/>
          <w:numId w:val="3"/>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kern w:val="0"/>
          <w:sz w:val="20"/>
          <w:szCs w:val="22"/>
          <w14:ligatures w14:val="none"/>
        </w:rPr>
        <w:t xml:space="preserve">Context bieden: Leg uit dat de rode kaarten staan voor het meebetalen, terwijl het houden van kaarten gelijkstaat aan spullen voor jezelf kopen. De groene </w:t>
      </w:r>
      <w:r w:rsidRPr="009A3C5E">
        <w:rPr>
          <w:rFonts w:ascii="Verdana" w:eastAsia="Calibri" w:hAnsi="Verdana" w:cs="Times New Roman"/>
          <w:kern w:val="0"/>
          <w:sz w:val="20"/>
          <w:szCs w:val="22"/>
          <w14:ligatures w14:val="none"/>
        </w:rPr>
        <w:lastRenderedPageBreak/>
        <w:t xml:space="preserve">kaarten dienen uitsluitend als afleiding zodat niemand direct kan zien wie welke keuze maakt. </w:t>
      </w:r>
    </w:p>
    <w:p w14:paraId="174546A4" w14:textId="77777777" w:rsidR="009A3C5E" w:rsidRPr="009A3C5E" w:rsidRDefault="009A3C5E" w:rsidP="009A3C5E">
      <w:pPr>
        <w:numPr>
          <w:ilvl w:val="0"/>
          <w:numId w:val="3"/>
        </w:numPr>
        <w:spacing w:after="0" w:line="240" w:lineRule="auto"/>
        <w:contextualSpacing/>
        <w:rPr>
          <w:rFonts w:ascii="Verdana" w:eastAsia="Calibri" w:hAnsi="Verdana" w:cs="Times New Roman"/>
          <w:kern w:val="0"/>
          <w:sz w:val="20"/>
          <w:szCs w:val="22"/>
          <w14:ligatures w14:val="none"/>
        </w:rPr>
      </w:pPr>
      <w:r w:rsidRPr="009A3C5E">
        <w:rPr>
          <w:rFonts w:ascii="Verdana" w:eastAsia="Calibri" w:hAnsi="Verdana" w:cs="Times New Roman"/>
          <w:kern w:val="0"/>
          <w:sz w:val="20"/>
          <w:szCs w:val="22"/>
          <w14:ligatures w14:val="none"/>
        </w:rPr>
        <w:t>Reflectieve afsluiting: Stel scherpe vragen om het bewustzijn aan te wakkeren, zoals de vraag of iemand alleen een bijdrage leverde als hij dacht dat anderen het zouden merken.</w:t>
      </w:r>
    </w:p>
    <w:p w14:paraId="57B3C2EA"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p>
    <w:p w14:paraId="264973D6" w14:textId="77777777" w:rsidR="009A3C5E" w:rsidRPr="009A3C5E" w:rsidRDefault="009A3C5E" w:rsidP="009A3C5E">
      <w:pPr>
        <w:spacing w:after="0" w:line="240" w:lineRule="auto"/>
        <w:rPr>
          <w:rFonts w:ascii="Verdana" w:eastAsia="Calibri" w:hAnsi="Verdana" w:cs="Times New Roman"/>
          <w:kern w:val="0"/>
          <w:sz w:val="20"/>
          <w:szCs w:val="22"/>
          <w14:ligatures w14:val="none"/>
        </w:rPr>
      </w:pPr>
      <w:r w:rsidRPr="009A3C5E">
        <w:rPr>
          <w:rFonts w:ascii="Verdana" w:eastAsia="Calibri" w:hAnsi="Verdana" w:cs="Times New Roman"/>
          <w:kern w:val="0"/>
          <w:sz w:val="20"/>
          <w:szCs w:val="22"/>
          <w14:ligatures w14:val="none"/>
        </w:rPr>
        <w:t>Suggestie: Formuleer tijdens de afsluitende reflectie van 10 minuten samen met de leerlingen een heldere conclusie en noteer deze op het bord; deze conclusie vormt namelijk het vertrekpunt voor de tweede les over dit thema.</w:t>
      </w:r>
    </w:p>
    <w:p w14:paraId="01CCB725" w14:textId="77777777" w:rsidR="00A63AFB" w:rsidRDefault="00A63AFB"/>
    <w:sectPr w:rsidR="00A63A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511DD"/>
    <w:multiLevelType w:val="hybridMultilevel"/>
    <w:tmpl w:val="DB9CB3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97E22F1"/>
    <w:multiLevelType w:val="hybridMultilevel"/>
    <w:tmpl w:val="D48815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909252D"/>
    <w:multiLevelType w:val="hybridMultilevel"/>
    <w:tmpl w:val="BA4EC2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9022377">
    <w:abstractNumId w:val="2"/>
  </w:num>
  <w:num w:numId="2" w16cid:durableId="1292055182">
    <w:abstractNumId w:val="0"/>
  </w:num>
  <w:num w:numId="3" w16cid:durableId="405960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AFB"/>
    <w:rsid w:val="009A3C5E"/>
    <w:rsid w:val="009D02EA"/>
    <w:rsid w:val="00A63A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F235C"/>
  <w15:chartTrackingRefBased/>
  <w15:docId w15:val="{E4CB2748-7CE0-4419-B2AF-C1FC5DFE1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63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63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63AF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63AF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63AF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63A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63A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63A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63A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3A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63A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63A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63A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63A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63A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63A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63A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63AFB"/>
    <w:rPr>
      <w:rFonts w:eastAsiaTheme="majorEastAsia" w:cstheme="majorBidi"/>
      <w:color w:val="272727" w:themeColor="text1" w:themeTint="D8"/>
    </w:rPr>
  </w:style>
  <w:style w:type="paragraph" w:styleId="Titel">
    <w:name w:val="Title"/>
    <w:basedOn w:val="Standaard"/>
    <w:next w:val="Standaard"/>
    <w:link w:val="TitelChar"/>
    <w:uiPriority w:val="10"/>
    <w:qFormat/>
    <w:rsid w:val="00A63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3A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3A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3A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3A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3AFB"/>
    <w:rPr>
      <w:i/>
      <w:iCs/>
      <w:color w:val="404040" w:themeColor="text1" w:themeTint="BF"/>
    </w:rPr>
  </w:style>
  <w:style w:type="paragraph" w:styleId="Lijstalinea">
    <w:name w:val="List Paragraph"/>
    <w:basedOn w:val="Standaard"/>
    <w:uiPriority w:val="34"/>
    <w:qFormat/>
    <w:rsid w:val="00A63AFB"/>
    <w:pPr>
      <w:ind w:left="720"/>
      <w:contextualSpacing/>
    </w:pPr>
  </w:style>
  <w:style w:type="character" w:styleId="Intensievebenadrukking">
    <w:name w:val="Intense Emphasis"/>
    <w:basedOn w:val="Standaardalinea-lettertype"/>
    <w:uiPriority w:val="21"/>
    <w:qFormat/>
    <w:rsid w:val="00A63AFB"/>
    <w:rPr>
      <w:i/>
      <w:iCs/>
      <w:color w:val="0F4761" w:themeColor="accent1" w:themeShade="BF"/>
    </w:rPr>
  </w:style>
  <w:style w:type="paragraph" w:styleId="Duidelijkcitaat">
    <w:name w:val="Intense Quote"/>
    <w:basedOn w:val="Standaard"/>
    <w:next w:val="Standaard"/>
    <w:link w:val="DuidelijkcitaatChar"/>
    <w:uiPriority w:val="30"/>
    <w:qFormat/>
    <w:rsid w:val="00A63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63AFB"/>
    <w:rPr>
      <w:i/>
      <w:iCs/>
      <w:color w:val="0F4761" w:themeColor="accent1" w:themeShade="BF"/>
    </w:rPr>
  </w:style>
  <w:style w:type="character" w:styleId="Intensieveverwijzing">
    <w:name w:val="Intense Reference"/>
    <w:basedOn w:val="Standaardalinea-lettertype"/>
    <w:uiPriority w:val="32"/>
    <w:qFormat/>
    <w:rsid w:val="00A63A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3023</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2</cp:revision>
  <dcterms:created xsi:type="dcterms:W3CDTF">2026-09-15T07:40:00Z</dcterms:created>
  <dcterms:modified xsi:type="dcterms:W3CDTF">2026-09-15T07:40:00Z</dcterms:modified>
</cp:coreProperties>
</file>