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2F3FC" w14:textId="77777777" w:rsidR="00CD7F24" w:rsidRPr="00CD7F24" w:rsidRDefault="00CD7F24" w:rsidP="00CD7F24">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950044030"/>
      <w:r w:rsidRPr="00CD7F24">
        <w:rPr>
          <w:rFonts w:ascii="Calibri Light" w:eastAsia="Yu Gothic Light" w:hAnsi="Calibri Light" w:cs="Times New Roman"/>
          <w:color w:val="2F5496"/>
          <w:kern w:val="0"/>
          <w:sz w:val="32"/>
          <w:szCs w:val="32"/>
          <w14:ligatures w14:val="none"/>
        </w:rPr>
        <w:t>Handreiking thema 2: Welvaart en verdeling</w:t>
      </w:r>
      <w:bookmarkEnd w:id="0"/>
    </w:p>
    <w:p w14:paraId="1F26C78A" w14:textId="77777777" w:rsidR="00CD7F24" w:rsidRPr="00CD7F24" w:rsidRDefault="00CD7F24" w:rsidP="00CD7F24">
      <w:pPr>
        <w:spacing w:after="0" w:line="240" w:lineRule="auto"/>
        <w:rPr>
          <w:rFonts w:ascii="Verdana" w:eastAsia="Calibri" w:hAnsi="Verdana" w:cs="Times New Roman"/>
          <w:kern w:val="0"/>
          <w:sz w:val="20"/>
          <w:szCs w:val="22"/>
          <w14:ligatures w14:val="none"/>
        </w:rPr>
      </w:pPr>
    </w:p>
    <w:p w14:paraId="2DC1CD6E" w14:textId="77777777" w:rsidR="00CD7F24" w:rsidRPr="00CD7F24" w:rsidRDefault="00CD7F24" w:rsidP="00CD7F24">
      <w:pPr>
        <w:keepNext/>
        <w:keepLines/>
        <w:spacing w:before="40" w:after="0" w:line="240" w:lineRule="auto"/>
        <w:outlineLvl w:val="1"/>
        <w:rPr>
          <w:rFonts w:ascii="Verdana" w:eastAsia="Verdana" w:hAnsi="Verdana" w:cs="Verdana"/>
          <w:color w:val="2F5496"/>
          <w:kern w:val="0"/>
          <w:sz w:val="20"/>
          <w:szCs w:val="20"/>
          <w14:ligatures w14:val="none"/>
        </w:rPr>
      </w:pPr>
      <w:bookmarkStart w:id="1" w:name="_Toc554641621"/>
      <w:r w:rsidRPr="00CD7F24">
        <w:rPr>
          <w:rFonts w:ascii="Calibri Light" w:eastAsia="Yu Gothic Light" w:hAnsi="Calibri Light" w:cs="Times New Roman"/>
          <w:color w:val="2F5496"/>
          <w:kern w:val="0"/>
          <w:sz w:val="26"/>
          <w:szCs w:val="26"/>
          <w14:ligatures w14:val="none"/>
        </w:rPr>
        <w:t>Introductie</w:t>
      </w:r>
      <w:bookmarkEnd w:id="1"/>
    </w:p>
    <w:p w14:paraId="7EF2B5B2" w14:textId="77777777" w:rsidR="00CD7F24" w:rsidRPr="00CD7F24" w:rsidRDefault="00CD7F24" w:rsidP="00CD7F24">
      <w:pPr>
        <w:spacing w:after="0" w:line="240" w:lineRule="auto"/>
        <w:rPr>
          <w:rFonts w:ascii="Verdana" w:eastAsia="Verdana" w:hAnsi="Verdana" w:cs="Verdana"/>
          <w:kern w:val="0"/>
          <w:sz w:val="20"/>
          <w:szCs w:val="20"/>
          <w14:ligatures w14:val="none"/>
        </w:rPr>
      </w:pPr>
      <w:r w:rsidRPr="00CD7F24">
        <w:rPr>
          <w:rFonts w:ascii="Verdana" w:eastAsia="Calibri" w:hAnsi="Verdana" w:cs="Times New Roman"/>
          <w:kern w:val="0"/>
          <w:sz w:val="20"/>
          <w:szCs w:val="22"/>
          <w14:ligatures w14:val="none"/>
        </w:rPr>
        <w:t>In deze les onderzoeken de leerlingen de verdeling van welvaart in de cacao-industrie, waarbij ze inzicht krijgen in de oneerlijke verdeling van de opbrengsten tussen de verschillende partijen, met bijzondere aandacht voor de cacaoboeren. De cacao-industrie biedt een duidelijk voorbeeld van hoe mondiale handelsketens kunnen leiden tot grote ongelijkheid in inkomen. De les is gebaseerd op het idee van eerlijke welvaartsverdeling, wat niet alleen relevant is voor het vak Economie, maar ook voor aardrijkskunde, aangezien het inzicht biedt in de gevolgen van mondiale economische processen op lokale gemeenschappen. Vanuit de Didactische Diamant richten we ons op de leerervaringen van de leerlingen, waarin ze niet alleen kennis opdoen, maar ook zelf ervaren en reflecteren op de effecten van economische keuzes.</w:t>
      </w:r>
    </w:p>
    <w:p w14:paraId="40316B78" w14:textId="77777777" w:rsidR="00CD7F24" w:rsidRPr="00CD7F24" w:rsidRDefault="00CD7F24" w:rsidP="00CD7F24">
      <w:pPr>
        <w:spacing w:after="0" w:line="240" w:lineRule="auto"/>
        <w:rPr>
          <w:rFonts w:ascii="Verdana" w:eastAsia="Calibri" w:hAnsi="Verdana" w:cs="Times New Roman"/>
          <w:i/>
          <w:iCs/>
          <w:kern w:val="0"/>
          <w:sz w:val="20"/>
          <w:szCs w:val="22"/>
          <w14:ligatures w14:val="none"/>
        </w:rPr>
      </w:pPr>
    </w:p>
    <w:p w14:paraId="42F4B389" w14:textId="77777777" w:rsidR="00CD7F24" w:rsidRPr="00CD7F24" w:rsidRDefault="00CD7F24" w:rsidP="00CD7F2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1745786225"/>
      <w:r w:rsidRPr="00CD7F24">
        <w:rPr>
          <w:rFonts w:ascii="Calibri Light" w:eastAsia="Yu Gothic Light" w:hAnsi="Calibri Light" w:cs="Times New Roman"/>
          <w:color w:val="2F5496"/>
          <w:kern w:val="0"/>
          <w:sz w:val="26"/>
          <w:szCs w:val="26"/>
          <w14:ligatures w14:val="none"/>
        </w:rPr>
        <w:t>Kernnoties</w:t>
      </w:r>
      <w:bookmarkEnd w:id="2"/>
    </w:p>
    <w:p w14:paraId="4098598C" w14:textId="77777777" w:rsidR="00CD7F24" w:rsidRPr="00CD7F24" w:rsidRDefault="00CD7F24" w:rsidP="00CD7F24">
      <w:pPr>
        <w:numPr>
          <w:ilvl w:val="0"/>
          <w:numId w:val="3"/>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Eerlijke welvaartsverdeling </w:t>
      </w:r>
      <w:r w:rsidRPr="00CD7F24">
        <w:rPr>
          <w:rFonts w:ascii="Verdana" w:eastAsia="Calibri" w:hAnsi="Verdana" w:cs="Times New Roman"/>
          <w:kern w:val="0"/>
          <w:sz w:val="20"/>
          <w:szCs w:val="22"/>
          <w14:ligatures w14:val="none"/>
        </w:rPr>
        <w:br/>
        <w:t xml:space="preserve">Het concept van eerlijke welvaartsverdeling betreft de rechtvaardige verdeling van economische opbrengsten, vooral wanneer een product wereldwijd verhandeld wordt. In de cacao-industrie betekent dit dat cacaoboeren die de cacao produceren, maar een klein deel van de opbrengst ontvangen, ondanks hun essentiële rol in de productieketen. Doelstelling: Leerlingen begrijpen het concept van eerlijke welvaartsverdeling en kunnen de oorzaken en gevolgen van een scheve verdeling uitleggen. </w:t>
      </w:r>
    </w:p>
    <w:p w14:paraId="2FB03457" w14:textId="77777777" w:rsidR="00CD7F24" w:rsidRPr="00CD7F24" w:rsidRDefault="00CD7F24" w:rsidP="00CD7F24">
      <w:pPr>
        <w:numPr>
          <w:ilvl w:val="0"/>
          <w:numId w:val="3"/>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De Cacao-industrie en de keten </w:t>
      </w:r>
      <w:r w:rsidRPr="00CD7F24">
        <w:rPr>
          <w:rFonts w:ascii="Verdana" w:eastAsia="Calibri" w:hAnsi="Verdana" w:cs="Times New Roman"/>
          <w:kern w:val="0"/>
          <w:sz w:val="20"/>
          <w:szCs w:val="22"/>
          <w14:ligatures w14:val="none"/>
        </w:rPr>
        <w:br/>
        <w:t xml:space="preserve">De cacao-industrie is een complex systeem van verschillende actoren, waaronder cacaoboeren, chocoladefabrikanten, supermarkten en andere tussenpersonen. Elke partij ontvangt een verschillende hoeveelheid van de uiteindelijke opbrengst, wat leidt tot ongelijkheid. Doelstelling: Leerlingen kunnen de actoren in de cacao-industrie benoemen en uitleggen hoe de waarde van cacao zich door de keten beweegt. </w:t>
      </w:r>
    </w:p>
    <w:p w14:paraId="15D4B756" w14:textId="77777777" w:rsidR="00CD7F24" w:rsidRPr="00CD7F24" w:rsidRDefault="00CD7F24" w:rsidP="00CD7F24">
      <w:pPr>
        <w:numPr>
          <w:ilvl w:val="0"/>
          <w:numId w:val="3"/>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Leefbaar Inkomen </w:t>
      </w:r>
      <w:r w:rsidRPr="00CD7F24">
        <w:rPr>
          <w:rFonts w:ascii="Verdana" w:eastAsia="Calibri" w:hAnsi="Verdana" w:cs="Times New Roman"/>
          <w:kern w:val="0"/>
          <w:sz w:val="20"/>
          <w:szCs w:val="22"/>
          <w14:ligatures w14:val="none"/>
        </w:rPr>
        <w:br/>
        <w:t xml:space="preserve">Een leefbaar inkomen is het bedrag dat een persoon nodig heeft om de basisbehoeften van het leven te kunnen dekken. Dit is een essentieel concept bij het begrijpen van de oneerlijke verdeling van de cacao-inkomsten. Het verschil tussen wat cacaoboeren verdienen en wat nodig is voor een leefbaar inkomen is groot. Doelstelling: Leerlingen begrijpen wat een leefbaar inkomen is en kunnen dit concept toepassen op de situatie van cacaoboeren. </w:t>
      </w:r>
    </w:p>
    <w:p w14:paraId="1C8A2DE5" w14:textId="77777777" w:rsidR="00CD7F24" w:rsidRPr="00CD7F24" w:rsidRDefault="00CD7F24" w:rsidP="00CD7F24">
      <w:pPr>
        <w:numPr>
          <w:ilvl w:val="0"/>
          <w:numId w:val="3"/>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Ethische en Duurzame Consumptie </w:t>
      </w:r>
      <w:r w:rsidRPr="00CD7F24">
        <w:rPr>
          <w:rFonts w:ascii="Verdana" w:eastAsia="Calibri" w:hAnsi="Verdana" w:cs="Times New Roman"/>
          <w:kern w:val="0"/>
          <w:sz w:val="20"/>
          <w:szCs w:val="22"/>
          <w14:ligatures w14:val="none"/>
        </w:rPr>
        <w:br/>
        <w:t>Consumenten hebben invloed op de markten door keuzes te maken die ethisch en duurzaam zijn. Het begrijpen van de relatie tussen economische keuzes en de gevolgen voor het milieu en de samenleving is essentieel. Doelstelling: Leerlingen leren hoe consumenten via hun aankopen kunnen bijdragen aan een eerlijker systeem.</w:t>
      </w:r>
    </w:p>
    <w:p w14:paraId="7C0F60E3" w14:textId="77777777" w:rsidR="00CD7F24" w:rsidRPr="00CD7F24" w:rsidRDefault="00CD7F24" w:rsidP="00CD7F24">
      <w:pPr>
        <w:spacing w:after="0" w:line="240" w:lineRule="auto"/>
        <w:rPr>
          <w:rFonts w:ascii="Verdana" w:eastAsia="Calibri" w:hAnsi="Verdana" w:cs="Times New Roman"/>
          <w:kern w:val="0"/>
          <w:sz w:val="20"/>
          <w:szCs w:val="22"/>
          <w14:ligatures w14:val="none"/>
        </w:rPr>
      </w:pPr>
    </w:p>
    <w:p w14:paraId="7504D53B" w14:textId="77777777" w:rsidR="00CD7F24" w:rsidRPr="00CD7F24" w:rsidRDefault="00CD7F24" w:rsidP="00CD7F2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379158566"/>
      <w:r w:rsidRPr="00CD7F24">
        <w:rPr>
          <w:rFonts w:ascii="Calibri Light" w:eastAsia="Yu Gothic Light" w:hAnsi="Calibri Light" w:cs="Times New Roman"/>
          <w:color w:val="2F5496"/>
          <w:kern w:val="0"/>
          <w:sz w:val="26"/>
          <w:szCs w:val="26"/>
          <w14:ligatures w14:val="none"/>
        </w:rPr>
        <w:t>Gesprekspunten vakgroep</w:t>
      </w:r>
      <w:bookmarkEnd w:id="3"/>
    </w:p>
    <w:p w14:paraId="55752082" w14:textId="77777777" w:rsidR="00CD7F24" w:rsidRPr="00CD7F24" w:rsidRDefault="00CD7F24" w:rsidP="00CD7F24">
      <w:pPr>
        <w:numPr>
          <w:ilvl w:val="0"/>
          <w:numId w:val="2"/>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Eerlijke Welvaartsverdeling in Mondiale Handelsketens: Hoe kunnen we de principes van eerlijke welvaartsverdeling verder integreren in de lesstof en het beleid van de vakgroep? </w:t>
      </w:r>
    </w:p>
    <w:p w14:paraId="096D009C" w14:textId="77777777" w:rsidR="00CD7F24" w:rsidRPr="00CD7F24" w:rsidRDefault="00CD7F24" w:rsidP="00CD7F24">
      <w:pPr>
        <w:numPr>
          <w:ilvl w:val="0"/>
          <w:numId w:val="2"/>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Rol van de Cacaoboer: Hoe kunnen we de economische, sociale en ethische aspecten van de productie in verre landen (cacao-industrie) beter belichten in onze lessen, zodat leerlingen niet alleen de cijfers zien, maar ook de gevolgen voor de boeren begrijpen?  </w:t>
      </w:r>
    </w:p>
    <w:p w14:paraId="35BD0AEF" w14:textId="77777777" w:rsidR="00CD7F24" w:rsidRPr="00CD7F24" w:rsidRDefault="00CD7F24" w:rsidP="00CD7F24">
      <w:pPr>
        <w:numPr>
          <w:ilvl w:val="0"/>
          <w:numId w:val="2"/>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lastRenderedPageBreak/>
        <w:t>Verbinding met Duurzame Ontwikkelingsdoelen (</w:t>
      </w:r>
      <w:proofErr w:type="spellStart"/>
      <w:r w:rsidRPr="00CD7F24">
        <w:rPr>
          <w:rFonts w:ascii="Verdana" w:eastAsia="Calibri" w:hAnsi="Verdana" w:cs="Times New Roman"/>
          <w:kern w:val="0"/>
          <w:sz w:val="20"/>
          <w:szCs w:val="22"/>
          <w14:ligatures w14:val="none"/>
        </w:rPr>
        <w:t>SDG’s</w:t>
      </w:r>
      <w:proofErr w:type="spellEnd"/>
      <w:r w:rsidRPr="00CD7F24">
        <w:rPr>
          <w:rFonts w:ascii="Verdana" w:eastAsia="Calibri" w:hAnsi="Verdana" w:cs="Times New Roman"/>
          <w:kern w:val="0"/>
          <w:sz w:val="20"/>
          <w:szCs w:val="22"/>
          <w14:ligatures w14:val="none"/>
        </w:rPr>
        <w:t xml:space="preserve">): In hoeverre kunnen we de concepten van eerlijke welvaartsverdeling koppelen aan de </w:t>
      </w:r>
      <w:proofErr w:type="spellStart"/>
      <w:r w:rsidRPr="00CD7F24">
        <w:rPr>
          <w:rFonts w:ascii="Verdana" w:eastAsia="Calibri" w:hAnsi="Verdana" w:cs="Times New Roman"/>
          <w:kern w:val="0"/>
          <w:sz w:val="20"/>
          <w:szCs w:val="22"/>
          <w14:ligatures w14:val="none"/>
        </w:rPr>
        <w:t>SDG’s</w:t>
      </w:r>
      <w:proofErr w:type="spellEnd"/>
      <w:r w:rsidRPr="00CD7F24">
        <w:rPr>
          <w:rFonts w:ascii="Verdana" w:eastAsia="Calibri" w:hAnsi="Verdana" w:cs="Times New Roman"/>
          <w:kern w:val="0"/>
          <w:sz w:val="20"/>
          <w:szCs w:val="22"/>
          <w14:ligatures w14:val="none"/>
        </w:rPr>
        <w:t>, vooral met betrekking tot armoede en werkgelegenheid?</w:t>
      </w:r>
    </w:p>
    <w:p w14:paraId="30593763" w14:textId="77777777" w:rsidR="00CD7F24" w:rsidRPr="00CD7F24" w:rsidRDefault="00CD7F24" w:rsidP="00CD7F24">
      <w:pPr>
        <w:spacing w:after="0" w:line="240" w:lineRule="auto"/>
        <w:rPr>
          <w:rFonts w:ascii="Verdana" w:eastAsia="Calibri" w:hAnsi="Verdana" w:cs="Times New Roman"/>
          <w:kern w:val="0"/>
          <w:sz w:val="20"/>
          <w:szCs w:val="22"/>
          <w14:ligatures w14:val="none"/>
        </w:rPr>
      </w:pPr>
    </w:p>
    <w:p w14:paraId="69AE8C28" w14:textId="77777777" w:rsidR="00CD7F24" w:rsidRPr="00CD7F24" w:rsidRDefault="00CD7F24" w:rsidP="00CD7F2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1344128848"/>
      <w:r w:rsidRPr="00CD7F24">
        <w:rPr>
          <w:rFonts w:ascii="Calibri Light" w:eastAsia="Yu Gothic Light" w:hAnsi="Calibri Light" w:cs="Times New Roman"/>
          <w:color w:val="2F5496"/>
          <w:kern w:val="0"/>
          <w:sz w:val="26"/>
          <w:szCs w:val="26"/>
          <w14:ligatures w14:val="none"/>
        </w:rPr>
        <w:t>Achtergrondinformatie en algemene suggesties</w:t>
      </w:r>
      <w:bookmarkEnd w:id="4"/>
    </w:p>
    <w:p w14:paraId="6843C766"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proofErr w:type="spellStart"/>
      <w:r w:rsidRPr="00CD7F24">
        <w:rPr>
          <w:rFonts w:ascii="Verdana" w:eastAsia="Calibri" w:hAnsi="Verdana" w:cs="Times New Roman"/>
          <w:kern w:val="0"/>
          <w:sz w:val="20"/>
          <w:szCs w:val="22"/>
          <w14:ligatures w14:val="none"/>
        </w:rPr>
        <w:t>Cocoa</w:t>
      </w:r>
      <w:proofErr w:type="spellEnd"/>
      <w:r w:rsidRPr="00CD7F24">
        <w:rPr>
          <w:rFonts w:ascii="Verdana" w:eastAsia="Calibri" w:hAnsi="Verdana" w:cs="Times New Roman"/>
          <w:kern w:val="0"/>
          <w:sz w:val="20"/>
          <w:szCs w:val="22"/>
          <w14:ligatures w14:val="none"/>
        </w:rPr>
        <w:t xml:space="preserve"> Barometer 2022: Dit rapport biedt gedetailleerde inzichten in de huidige stand van zaken in de cacao-industrie, met de nadruk op de sociale, economische en milieu-uitdagingen die de sector teisteren. Dit kan als literatuurbron worden gebruikt voor verdere verdieping. </w:t>
      </w:r>
    </w:p>
    <w:p w14:paraId="0B459157"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Tony’s Open Chain Impact Report: Dit biedt een ander perspectief, waarin wordt onderzocht hoe bedrijven zoals Tony’s </w:t>
      </w:r>
      <w:proofErr w:type="spellStart"/>
      <w:r w:rsidRPr="00CD7F24">
        <w:rPr>
          <w:rFonts w:ascii="Verdana" w:eastAsia="Calibri" w:hAnsi="Verdana" w:cs="Times New Roman"/>
          <w:kern w:val="0"/>
          <w:sz w:val="20"/>
          <w:szCs w:val="22"/>
          <w14:ligatures w14:val="none"/>
        </w:rPr>
        <w:t>Chocolonely</w:t>
      </w:r>
      <w:proofErr w:type="spellEnd"/>
      <w:r w:rsidRPr="00CD7F24">
        <w:rPr>
          <w:rFonts w:ascii="Verdana" w:eastAsia="Calibri" w:hAnsi="Verdana" w:cs="Times New Roman"/>
          <w:kern w:val="0"/>
          <w:sz w:val="20"/>
          <w:szCs w:val="22"/>
          <w14:ligatures w14:val="none"/>
        </w:rPr>
        <w:t xml:space="preserve"> proberen om de keten eerlijker te maken, en kan worden gebruikt om te laten zien dat er ook alternatieven zijn voor de huidige praktijken. </w:t>
      </w:r>
    </w:p>
    <w:p w14:paraId="06E55EB2"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Er is leven na de groei (Paul </w:t>
      </w:r>
      <w:proofErr w:type="spellStart"/>
      <w:r w:rsidRPr="00CD7F24">
        <w:rPr>
          <w:rFonts w:ascii="Verdana" w:eastAsia="Calibri" w:hAnsi="Verdana" w:cs="Times New Roman"/>
          <w:kern w:val="0"/>
          <w:sz w:val="20"/>
          <w:szCs w:val="22"/>
          <w14:ligatures w14:val="none"/>
        </w:rPr>
        <w:t>Schenderling</w:t>
      </w:r>
      <w:proofErr w:type="spellEnd"/>
      <w:r w:rsidRPr="00CD7F24">
        <w:rPr>
          <w:rFonts w:ascii="Verdana" w:eastAsia="Calibri" w:hAnsi="Verdana" w:cs="Times New Roman"/>
          <w:kern w:val="0"/>
          <w:sz w:val="20"/>
          <w:szCs w:val="22"/>
          <w14:ligatures w14:val="none"/>
        </w:rPr>
        <w:t>): Lees als vakgroep gezamenlijk dit boek en bezin jezelf op welvaartsverdeling en moderne slavernij.</w:t>
      </w:r>
    </w:p>
    <w:p w14:paraId="286E8CF6" w14:textId="77777777" w:rsidR="00CD7F24" w:rsidRPr="00CD7F24" w:rsidRDefault="00CD7F24" w:rsidP="00CD7F24">
      <w:pPr>
        <w:spacing w:after="0" w:line="240" w:lineRule="auto"/>
        <w:rPr>
          <w:rFonts w:ascii="Verdana" w:eastAsia="Calibri" w:hAnsi="Verdana" w:cs="Times New Roman"/>
          <w:kern w:val="0"/>
          <w:sz w:val="20"/>
          <w:szCs w:val="22"/>
          <w14:ligatures w14:val="none"/>
        </w:rPr>
      </w:pPr>
    </w:p>
    <w:p w14:paraId="342278FB" w14:textId="77777777" w:rsidR="00CD7F24" w:rsidRPr="00CD7F24" w:rsidRDefault="00CD7F24" w:rsidP="00CD7F2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5" w:name="_Toc301583673"/>
      <w:r w:rsidRPr="00CD7F24">
        <w:rPr>
          <w:rFonts w:ascii="Calibri Light" w:eastAsia="Yu Gothic Light" w:hAnsi="Calibri Light" w:cs="Times New Roman"/>
          <w:color w:val="2F5496"/>
          <w:kern w:val="0"/>
          <w:sz w:val="26"/>
          <w:szCs w:val="26"/>
          <w14:ligatures w14:val="none"/>
        </w:rPr>
        <w:t>Algemene suggesties</w:t>
      </w:r>
      <w:bookmarkEnd w:id="5"/>
    </w:p>
    <w:p w14:paraId="29881731"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Opening van de les: Start met een visueel krachtig beeld, zoals een grafiek van de cacao-industrie of een korte video die de situatie van de cacaoboer toont. Dit helpt de leerlingen om beeld te krijgen bij de problematiek. </w:t>
      </w:r>
    </w:p>
    <w:p w14:paraId="64EE7CC1"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Vraagstukken en dilemma’s: Introduceer het dilemma van de cacaoboer die niet genoeg verdient om te voorzien in basisbehoeften, ondanks de enorme vraag naar cacao. Dit kan leiden tot diepere discussies over mondiale ongelijkheid. </w:t>
      </w:r>
    </w:p>
    <w:p w14:paraId="2C34DCAB"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Werkvormen: Werk met groepsopdrachten waarbij leerlingen verschillende rollen aannemen (supermarkt, fabrikant, groothandel, cacaoboer) en moeten onderhandelen over een eerlijke verdeling van de opbrengsten. Dit kan door middel van een simulatiespel. </w:t>
      </w:r>
    </w:p>
    <w:p w14:paraId="03025CD3"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 xml:space="preserve">Verbinding met Lesboeken: Verbind de theorie over economische systemen, markten, en welvaartsverdeling uit het lesboek met de praktijk van de cacao-industrie. </w:t>
      </w:r>
    </w:p>
    <w:p w14:paraId="0CAFAFD2" w14:textId="77777777" w:rsidR="00CD7F24" w:rsidRPr="00CD7F24" w:rsidRDefault="00CD7F24" w:rsidP="00CD7F24">
      <w:pPr>
        <w:numPr>
          <w:ilvl w:val="0"/>
          <w:numId w:val="1"/>
        </w:numPr>
        <w:spacing w:after="0" w:line="240" w:lineRule="auto"/>
        <w:contextualSpacing/>
        <w:rPr>
          <w:rFonts w:ascii="Verdana" w:eastAsia="Calibri" w:hAnsi="Verdana" w:cs="Times New Roman"/>
          <w:kern w:val="0"/>
          <w:sz w:val="20"/>
          <w:szCs w:val="22"/>
          <w14:ligatures w14:val="none"/>
        </w:rPr>
      </w:pPr>
      <w:r w:rsidRPr="00CD7F24">
        <w:rPr>
          <w:rFonts w:ascii="Verdana" w:eastAsia="Calibri" w:hAnsi="Verdana" w:cs="Times New Roman"/>
          <w:kern w:val="0"/>
          <w:sz w:val="20"/>
          <w:szCs w:val="22"/>
          <w14:ligatures w14:val="none"/>
        </w:rPr>
        <w:t>Goed Beeldmateriaal: Gebruik grafieken, tabellen en video's die de economische keten van de cacao-industrie visueel uitleggen, bijvoorbeeld de verdeling van de opbrengst van een chocoladereep.</w:t>
      </w:r>
    </w:p>
    <w:p w14:paraId="4AF8C25D" w14:textId="77777777" w:rsidR="00CD7F24" w:rsidRPr="00CD7F24" w:rsidRDefault="00CD7F24" w:rsidP="00CD7F24">
      <w:pPr>
        <w:spacing w:after="0" w:line="240" w:lineRule="auto"/>
        <w:rPr>
          <w:rFonts w:ascii="Verdana" w:eastAsia="Calibri" w:hAnsi="Verdana" w:cs="Times New Roman"/>
          <w:kern w:val="0"/>
          <w:sz w:val="20"/>
          <w:szCs w:val="22"/>
          <w14:ligatures w14:val="none"/>
        </w:rPr>
      </w:pPr>
    </w:p>
    <w:p w14:paraId="444547A9" w14:textId="77777777" w:rsidR="00CD7F24" w:rsidRPr="00CD7F24" w:rsidRDefault="00CD7F24" w:rsidP="00CD7F2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6" w:name="_Toc340936592"/>
      <w:r w:rsidRPr="00CD7F24">
        <w:rPr>
          <w:rFonts w:ascii="Calibri Light" w:eastAsia="Yu Gothic Light" w:hAnsi="Calibri Light" w:cs="Times New Roman"/>
          <w:color w:val="2F5496"/>
          <w:kern w:val="0"/>
          <w:sz w:val="26"/>
          <w:szCs w:val="26"/>
          <w14:ligatures w14:val="none"/>
        </w:rPr>
        <w:t>Overig</w:t>
      </w:r>
      <w:bookmarkEnd w:id="6"/>
      <w:r w:rsidRPr="00CD7F24">
        <w:rPr>
          <w:rFonts w:ascii="Calibri Light" w:eastAsia="Yu Gothic Light" w:hAnsi="Calibri Light" w:cs="Times New Roman"/>
          <w:color w:val="2F5496"/>
          <w:kern w:val="0"/>
          <w:sz w:val="26"/>
          <w:szCs w:val="26"/>
          <w14:ligatures w14:val="none"/>
        </w:rPr>
        <w:t xml:space="preserve"> </w:t>
      </w:r>
    </w:p>
    <w:p w14:paraId="30DAFFCD" w14:textId="77777777" w:rsidR="00CD7F24" w:rsidRPr="00CD7F24" w:rsidRDefault="00CD7F24" w:rsidP="00CD7F24">
      <w:pPr>
        <w:spacing w:after="0" w:line="240" w:lineRule="auto"/>
        <w:rPr>
          <w:rFonts w:ascii="Verdana" w:eastAsia="Verdana" w:hAnsi="Verdana" w:cs="Verdana"/>
          <w:kern w:val="0"/>
          <w:sz w:val="22"/>
          <w:szCs w:val="22"/>
          <w14:ligatures w14:val="none"/>
        </w:rPr>
      </w:pPr>
      <w:r w:rsidRPr="00CD7F24">
        <w:rPr>
          <w:rFonts w:ascii="Verdana" w:eastAsia="Verdana" w:hAnsi="Verdana" w:cs="Verdana"/>
          <w:color w:val="000000"/>
          <w:kern w:val="0"/>
          <w:sz w:val="20"/>
          <w:szCs w:val="20"/>
          <w14:ligatures w14:val="none"/>
        </w:rPr>
        <w:t>Aangezien de cacao-industrie zowel economische als ethische aspecten heeft, is het belangrijk om een morele benadering van de les in te voegen. Leerlingen moeten niet alleen cijfers leren, maar ook de ethische overwegingen begrijpen die gepaard gaan met economische keuzes.</w:t>
      </w:r>
    </w:p>
    <w:p w14:paraId="6A1BC624" w14:textId="77777777" w:rsidR="00CD7F24" w:rsidRDefault="00CD7F24"/>
    <w:sectPr w:rsidR="00CD7F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6E50D"/>
    <w:multiLevelType w:val="hybridMultilevel"/>
    <w:tmpl w:val="B17A03AA"/>
    <w:lvl w:ilvl="0" w:tplc="DE1C700C">
      <w:start w:val="1"/>
      <w:numFmt w:val="decimal"/>
      <w:lvlText w:val="%1."/>
      <w:lvlJc w:val="left"/>
      <w:pPr>
        <w:ind w:left="720" w:hanging="360"/>
      </w:pPr>
    </w:lvl>
    <w:lvl w:ilvl="1" w:tplc="E0966D56">
      <w:start w:val="1"/>
      <w:numFmt w:val="lowerLetter"/>
      <w:lvlText w:val="%2."/>
      <w:lvlJc w:val="left"/>
      <w:pPr>
        <w:ind w:left="1440" w:hanging="360"/>
      </w:pPr>
    </w:lvl>
    <w:lvl w:ilvl="2" w:tplc="124093FE">
      <w:start w:val="1"/>
      <w:numFmt w:val="lowerRoman"/>
      <w:lvlText w:val="%3."/>
      <w:lvlJc w:val="right"/>
      <w:pPr>
        <w:ind w:left="2160" w:hanging="180"/>
      </w:pPr>
    </w:lvl>
    <w:lvl w:ilvl="3" w:tplc="1B16A508">
      <w:start w:val="1"/>
      <w:numFmt w:val="decimal"/>
      <w:lvlText w:val="%4."/>
      <w:lvlJc w:val="left"/>
      <w:pPr>
        <w:ind w:left="2880" w:hanging="360"/>
      </w:pPr>
    </w:lvl>
    <w:lvl w:ilvl="4" w:tplc="9918AE9C">
      <w:start w:val="1"/>
      <w:numFmt w:val="lowerLetter"/>
      <w:lvlText w:val="%5."/>
      <w:lvlJc w:val="left"/>
      <w:pPr>
        <w:ind w:left="3600" w:hanging="360"/>
      </w:pPr>
    </w:lvl>
    <w:lvl w:ilvl="5" w:tplc="413E509C">
      <w:start w:val="1"/>
      <w:numFmt w:val="lowerRoman"/>
      <w:lvlText w:val="%6."/>
      <w:lvlJc w:val="right"/>
      <w:pPr>
        <w:ind w:left="4320" w:hanging="180"/>
      </w:pPr>
    </w:lvl>
    <w:lvl w:ilvl="6" w:tplc="F97222EA">
      <w:start w:val="1"/>
      <w:numFmt w:val="decimal"/>
      <w:lvlText w:val="%7."/>
      <w:lvlJc w:val="left"/>
      <w:pPr>
        <w:ind w:left="5040" w:hanging="360"/>
      </w:pPr>
    </w:lvl>
    <w:lvl w:ilvl="7" w:tplc="C116F418">
      <w:start w:val="1"/>
      <w:numFmt w:val="lowerLetter"/>
      <w:lvlText w:val="%8."/>
      <w:lvlJc w:val="left"/>
      <w:pPr>
        <w:ind w:left="5760" w:hanging="360"/>
      </w:pPr>
    </w:lvl>
    <w:lvl w:ilvl="8" w:tplc="CF0468F4">
      <w:start w:val="1"/>
      <w:numFmt w:val="lowerRoman"/>
      <w:lvlText w:val="%9."/>
      <w:lvlJc w:val="right"/>
      <w:pPr>
        <w:ind w:left="6480" w:hanging="180"/>
      </w:pPr>
    </w:lvl>
  </w:abstractNum>
  <w:abstractNum w:abstractNumId="1" w15:restartNumberingAfterBreak="0">
    <w:nsid w:val="3706B331"/>
    <w:multiLevelType w:val="hybridMultilevel"/>
    <w:tmpl w:val="AB94C0F4"/>
    <w:lvl w:ilvl="0" w:tplc="0CB6F42A">
      <w:start w:val="1"/>
      <w:numFmt w:val="bullet"/>
      <w:lvlText w:val=""/>
      <w:lvlJc w:val="left"/>
      <w:pPr>
        <w:ind w:left="720" w:hanging="360"/>
      </w:pPr>
      <w:rPr>
        <w:rFonts w:ascii="Symbol" w:hAnsi="Symbol" w:hint="default"/>
      </w:rPr>
    </w:lvl>
    <w:lvl w:ilvl="1" w:tplc="97C6158A">
      <w:start w:val="1"/>
      <w:numFmt w:val="bullet"/>
      <w:lvlText w:val="o"/>
      <w:lvlJc w:val="left"/>
      <w:pPr>
        <w:ind w:left="1440" w:hanging="360"/>
      </w:pPr>
      <w:rPr>
        <w:rFonts w:ascii="Courier New" w:hAnsi="Courier New" w:hint="default"/>
      </w:rPr>
    </w:lvl>
    <w:lvl w:ilvl="2" w:tplc="D578064E">
      <w:start w:val="1"/>
      <w:numFmt w:val="bullet"/>
      <w:lvlText w:val=""/>
      <w:lvlJc w:val="left"/>
      <w:pPr>
        <w:ind w:left="2160" w:hanging="360"/>
      </w:pPr>
      <w:rPr>
        <w:rFonts w:ascii="Wingdings" w:hAnsi="Wingdings" w:hint="default"/>
      </w:rPr>
    </w:lvl>
    <w:lvl w:ilvl="3" w:tplc="211EC8EC">
      <w:start w:val="1"/>
      <w:numFmt w:val="bullet"/>
      <w:lvlText w:val=""/>
      <w:lvlJc w:val="left"/>
      <w:pPr>
        <w:ind w:left="2880" w:hanging="360"/>
      </w:pPr>
      <w:rPr>
        <w:rFonts w:ascii="Symbol" w:hAnsi="Symbol" w:hint="default"/>
      </w:rPr>
    </w:lvl>
    <w:lvl w:ilvl="4" w:tplc="BCD86550">
      <w:start w:val="1"/>
      <w:numFmt w:val="bullet"/>
      <w:lvlText w:val="o"/>
      <w:lvlJc w:val="left"/>
      <w:pPr>
        <w:ind w:left="3600" w:hanging="360"/>
      </w:pPr>
      <w:rPr>
        <w:rFonts w:ascii="Courier New" w:hAnsi="Courier New" w:hint="default"/>
      </w:rPr>
    </w:lvl>
    <w:lvl w:ilvl="5" w:tplc="0BC257BE">
      <w:start w:val="1"/>
      <w:numFmt w:val="bullet"/>
      <w:lvlText w:val=""/>
      <w:lvlJc w:val="left"/>
      <w:pPr>
        <w:ind w:left="4320" w:hanging="360"/>
      </w:pPr>
      <w:rPr>
        <w:rFonts w:ascii="Wingdings" w:hAnsi="Wingdings" w:hint="default"/>
      </w:rPr>
    </w:lvl>
    <w:lvl w:ilvl="6" w:tplc="8F8C515C">
      <w:start w:val="1"/>
      <w:numFmt w:val="bullet"/>
      <w:lvlText w:val=""/>
      <w:lvlJc w:val="left"/>
      <w:pPr>
        <w:ind w:left="5040" w:hanging="360"/>
      </w:pPr>
      <w:rPr>
        <w:rFonts w:ascii="Symbol" w:hAnsi="Symbol" w:hint="default"/>
      </w:rPr>
    </w:lvl>
    <w:lvl w:ilvl="7" w:tplc="C486DEA0">
      <w:start w:val="1"/>
      <w:numFmt w:val="bullet"/>
      <w:lvlText w:val="o"/>
      <w:lvlJc w:val="left"/>
      <w:pPr>
        <w:ind w:left="5760" w:hanging="360"/>
      </w:pPr>
      <w:rPr>
        <w:rFonts w:ascii="Courier New" w:hAnsi="Courier New" w:hint="default"/>
      </w:rPr>
    </w:lvl>
    <w:lvl w:ilvl="8" w:tplc="3D72B9F6">
      <w:start w:val="1"/>
      <w:numFmt w:val="bullet"/>
      <w:lvlText w:val=""/>
      <w:lvlJc w:val="left"/>
      <w:pPr>
        <w:ind w:left="6480" w:hanging="360"/>
      </w:pPr>
      <w:rPr>
        <w:rFonts w:ascii="Wingdings" w:hAnsi="Wingdings" w:hint="default"/>
      </w:rPr>
    </w:lvl>
  </w:abstractNum>
  <w:abstractNum w:abstractNumId="2" w15:restartNumberingAfterBreak="0">
    <w:nsid w:val="7769698B"/>
    <w:multiLevelType w:val="hybridMultilevel"/>
    <w:tmpl w:val="86DACBBC"/>
    <w:lvl w:ilvl="0" w:tplc="8D7674D2">
      <w:start w:val="1"/>
      <w:numFmt w:val="bullet"/>
      <w:lvlText w:val=""/>
      <w:lvlJc w:val="left"/>
      <w:pPr>
        <w:ind w:left="720" w:hanging="360"/>
      </w:pPr>
      <w:rPr>
        <w:rFonts w:ascii="Symbol" w:hAnsi="Symbol" w:hint="default"/>
      </w:rPr>
    </w:lvl>
    <w:lvl w:ilvl="1" w:tplc="FDDEE99A">
      <w:start w:val="1"/>
      <w:numFmt w:val="bullet"/>
      <w:lvlText w:val="o"/>
      <w:lvlJc w:val="left"/>
      <w:pPr>
        <w:ind w:left="1440" w:hanging="360"/>
      </w:pPr>
      <w:rPr>
        <w:rFonts w:ascii="Courier New" w:hAnsi="Courier New" w:hint="default"/>
      </w:rPr>
    </w:lvl>
    <w:lvl w:ilvl="2" w:tplc="4094F482">
      <w:start w:val="1"/>
      <w:numFmt w:val="bullet"/>
      <w:lvlText w:val=""/>
      <w:lvlJc w:val="left"/>
      <w:pPr>
        <w:ind w:left="2160" w:hanging="360"/>
      </w:pPr>
      <w:rPr>
        <w:rFonts w:ascii="Wingdings" w:hAnsi="Wingdings" w:hint="default"/>
      </w:rPr>
    </w:lvl>
    <w:lvl w:ilvl="3" w:tplc="CD26A94E">
      <w:start w:val="1"/>
      <w:numFmt w:val="bullet"/>
      <w:lvlText w:val=""/>
      <w:lvlJc w:val="left"/>
      <w:pPr>
        <w:ind w:left="2880" w:hanging="360"/>
      </w:pPr>
      <w:rPr>
        <w:rFonts w:ascii="Symbol" w:hAnsi="Symbol" w:hint="default"/>
      </w:rPr>
    </w:lvl>
    <w:lvl w:ilvl="4" w:tplc="866EABCA">
      <w:start w:val="1"/>
      <w:numFmt w:val="bullet"/>
      <w:lvlText w:val="o"/>
      <w:lvlJc w:val="left"/>
      <w:pPr>
        <w:ind w:left="3600" w:hanging="360"/>
      </w:pPr>
      <w:rPr>
        <w:rFonts w:ascii="Courier New" w:hAnsi="Courier New" w:hint="default"/>
      </w:rPr>
    </w:lvl>
    <w:lvl w:ilvl="5" w:tplc="EA8C7ED8">
      <w:start w:val="1"/>
      <w:numFmt w:val="bullet"/>
      <w:lvlText w:val=""/>
      <w:lvlJc w:val="left"/>
      <w:pPr>
        <w:ind w:left="4320" w:hanging="360"/>
      </w:pPr>
      <w:rPr>
        <w:rFonts w:ascii="Wingdings" w:hAnsi="Wingdings" w:hint="default"/>
      </w:rPr>
    </w:lvl>
    <w:lvl w:ilvl="6" w:tplc="9678E354">
      <w:start w:val="1"/>
      <w:numFmt w:val="bullet"/>
      <w:lvlText w:val=""/>
      <w:lvlJc w:val="left"/>
      <w:pPr>
        <w:ind w:left="5040" w:hanging="360"/>
      </w:pPr>
      <w:rPr>
        <w:rFonts w:ascii="Symbol" w:hAnsi="Symbol" w:hint="default"/>
      </w:rPr>
    </w:lvl>
    <w:lvl w:ilvl="7" w:tplc="C97E9964">
      <w:start w:val="1"/>
      <w:numFmt w:val="bullet"/>
      <w:lvlText w:val="o"/>
      <w:lvlJc w:val="left"/>
      <w:pPr>
        <w:ind w:left="5760" w:hanging="360"/>
      </w:pPr>
      <w:rPr>
        <w:rFonts w:ascii="Courier New" w:hAnsi="Courier New" w:hint="default"/>
      </w:rPr>
    </w:lvl>
    <w:lvl w:ilvl="8" w:tplc="3350089C">
      <w:start w:val="1"/>
      <w:numFmt w:val="bullet"/>
      <w:lvlText w:val=""/>
      <w:lvlJc w:val="left"/>
      <w:pPr>
        <w:ind w:left="6480" w:hanging="360"/>
      </w:pPr>
      <w:rPr>
        <w:rFonts w:ascii="Wingdings" w:hAnsi="Wingdings" w:hint="default"/>
      </w:rPr>
    </w:lvl>
  </w:abstractNum>
  <w:num w:numId="1" w16cid:durableId="768625100">
    <w:abstractNumId w:val="1"/>
  </w:num>
  <w:num w:numId="2" w16cid:durableId="37438857">
    <w:abstractNumId w:val="2"/>
  </w:num>
  <w:num w:numId="3" w16cid:durableId="1891308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F24"/>
    <w:rsid w:val="0079690A"/>
    <w:rsid w:val="00CD7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04722"/>
  <w15:chartTrackingRefBased/>
  <w15:docId w15:val="{A2AB965C-A04E-47A5-9B21-E08BD9AD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7F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7F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7F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7F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7F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7F2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7F2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7F2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7F2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7F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7F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7F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7F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7F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7F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7F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7F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7F24"/>
    <w:rPr>
      <w:rFonts w:eastAsiaTheme="majorEastAsia" w:cstheme="majorBidi"/>
      <w:color w:val="272727" w:themeColor="text1" w:themeTint="D8"/>
    </w:rPr>
  </w:style>
  <w:style w:type="paragraph" w:styleId="Titel">
    <w:name w:val="Title"/>
    <w:basedOn w:val="Standaard"/>
    <w:next w:val="Standaard"/>
    <w:link w:val="TitelChar"/>
    <w:uiPriority w:val="10"/>
    <w:qFormat/>
    <w:rsid w:val="00CD7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7F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7F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7F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7F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7F24"/>
    <w:rPr>
      <w:i/>
      <w:iCs/>
      <w:color w:val="404040" w:themeColor="text1" w:themeTint="BF"/>
    </w:rPr>
  </w:style>
  <w:style w:type="paragraph" w:styleId="Lijstalinea">
    <w:name w:val="List Paragraph"/>
    <w:basedOn w:val="Standaard"/>
    <w:uiPriority w:val="34"/>
    <w:qFormat/>
    <w:rsid w:val="00CD7F24"/>
    <w:pPr>
      <w:ind w:left="720"/>
      <w:contextualSpacing/>
    </w:pPr>
  </w:style>
  <w:style w:type="character" w:styleId="Intensievebenadrukking">
    <w:name w:val="Intense Emphasis"/>
    <w:basedOn w:val="Standaardalinea-lettertype"/>
    <w:uiPriority w:val="21"/>
    <w:qFormat/>
    <w:rsid w:val="00CD7F24"/>
    <w:rPr>
      <w:i/>
      <w:iCs/>
      <w:color w:val="0F4761" w:themeColor="accent1" w:themeShade="BF"/>
    </w:rPr>
  </w:style>
  <w:style w:type="paragraph" w:styleId="Duidelijkcitaat">
    <w:name w:val="Intense Quote"/>
    <w:basedOn w:val="Standaard"/>
    <w:next w:val="Standaard"/>
    <w:link w:val="DuidelijkcitaatChar"/>
    <w:uiPriority w:val="30"/>
    <w:qFormat/>
    <w:rsid w:val="00CD7F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7F24"/>
    <w:rPr>
      <w:i/>
      <w:iCs/>
      <w:color w:val="0F4761" w:themeColor="accent1" w:themeShade="BF"/>
    </w:rPr>
  </w:style>
  <w:style w:type="character" w:styleId="Intensieveverwijzing">
    <w:name w:val="Intense Reference"/>
    <w:basedOn w:val="Standaardalinea-lettertype"/>
    <w:uiPriority w:val="32"/>
    <w:qFormat/>
    <w:rsid w:val="00CD7F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4573</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2026-08-25T08:53:00Z</dcterms:created>
  <dcterms:modified xsi:type="dcterms:W3CDTF">2026-08-25T08:53:00Z</dcterms:modified>
</cp:coreProperties>
</file>