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11351" w14:textId="77777777" w:rsidR="002F46E1" w:rsidRPr="002F46E1" w:rsidRDefault="002F46E1" w:rsidP="002F46E1">
      <w:pPr>
        <w:keepNext/>
        <w:keepLines/>
        <w:spacing w:before="240" w:after="0" w:line="259" w:lineRule="auto"/>
        <w:outlineLvl w:val="0"/>
        <w:rPr>
          <w:rFonts w:ascii="Calibri Light" w:eastAsia="Yu Gothic Light" w:hAnsi="Calibri Light" w:cs="Times New Roman"/>
          <w:color w:val="2F5496"/>
          <w:kern w:val="0"/>
          <w:sz w:val="32"/>
          <w:szCs w:val="32"/>
          <w14:ligatures w14:val="none"/>
        </w:rPr>
      </w:pPr>
      <w:r w:rsidRPr="002F46E1">
        <w:rPr>
          <w:rFonts w:ascii="Calibri Light" w:eastAsia="Yu Gothic Light" w:hAnsi="Calibri Light" w:cs="Times New Roman"/>
          <w:color w:val="2F5496"/>
          <w:kern w:val="0"/>
          <w:sz w:val="32"/>
          <w:szCs w:val="32"/>
          <w14:ligatures w14:val="none"/>
        </w:rPr>
        <w:t>Handreiking thema 10: Ontwikkelingssamenwerking</w:t>
      </w:r>
    </w:p>
    <w:p w14:paraId="105ED37C"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p>
    <w:p w14:paraId="20E3F359" w14:textId="77777777" w:rsidR="002F46E1" w:rsidRPr="002F46E1" w:rsidRDefault="002F46E1" w:rsidP="002F46E1">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2F46E1">
        <w:rPr>
          <w:rFonts w:ascii="Calibri Light" w:eastAsia="Yu Gothic Light" w:hAnsi="Calibri Light" w:cs="Times New Roman"/>
          <w:color w:val="2F5496"/>
          <w:kern w:val="0"/>
          <w:sz w:val="26"/>
          <w:szCs w:val="26"/>
          <w14:ligatures w14:val="none"/>
        </w:rPr>
        <w:t>Introductie</w:t>
      </w:r>
    </w:p>
    <w:p w14:paraId="63FB52C1"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r w:rsidRPr="002F46E1">
        <w:rPr>
          <w:rFonts w:ascii="Verdana" w:eastAsia="Calibri" w:hAnsi="Verdana" w:cs="Times New Roman"/>
          <w:kern w:val="0"/>
          <w:sz w:val="20"/>
          <w:szCs w:val="22"/>
          <w14:ligatures w14:val="none"/>
        </w:rPr>
        <w:t xml:space="preserve">Ontwikkelingssamenwerking is een thema waarin economische kennis, mondiale ongelijkheid en morele vragen onlosmakelijk met elkaar verbonden zijn. In het vak economie biedt dit onderwerp leerlingen inzicht in verschillen in welvaart tussen landen, oorzaken van armoede en de rol van handel, instituties en beleid. Tegelijk roept ontwikkelingssamenwerking fundamentele vragen op over verantwoordelijkheid, rechtvaardigheid en menswaardigheid. </w:t>
      </w:r>
    </w:p>
    <w:p w14:paraId="3BA2A382"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r w:rsidRPr="002F46E1">
        <w:rPr>
          <w:rFonts w:ascii="Verdana" w:eastAsia="Calibri" w:hAnsi="Verdana" w:cs="Times New Roman"/>
          <w:kern w:val="0"/>
          <w:sz w:val="20"/>
          <w:szCs w:val="22"/>
          <w14:ligatures w14:val="none"/>
        </w:rPr>
        <w:t xml:space="preserve">Vanuit economisch perspectief gaat het bij ontwikkelingssamenwerking onder andere om de vraag hoe welvaart wordt gemeten, waarom sommige landen structureel arm blijven en in hoeverre hulp, handel en investeringen bijdragen aan duurzame ontwikkeling.  Leerlingen leren dat economische groei niet automatisch leidt tot verbetering van levensomstandigheden voor iedereen en dat ongelijkheid binnen en tussen landen een blijvend vraagstuk is. </w:t>
      </w:r>
    </w:p>
    <w:p w14:paraId="6967938E"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r w:rsidRPr="002F46E1">
        <w:rPr>
          <w:rFonts w:ascii="Verdana" w:eastAsia="Calibri" w:hAnsi="Verdana" w:cs="Times New Roman"/>
          <w:kern w:val="0"/>
          <w:sz w:val="20"/>
          <w:szCs w:val="22"/>
          <w14:ligatures w14:val="none"/>
        </w:rPr>
        <w:t xml:space="preserve"> </w:t>
      </w:r>
    </w:p>
    <w:p w14:paraId="4594ACEA"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r w:rsidRPr="002F46E1">
        <w:rPr>
          <w:rFonts w:ascii="Verdana" w:eastAsia="Calibri" w:hAnsi="Verdana" w:cs="Times New Roman"/>
          <w:kern w:val="0"/>
          <w:sz w:val="20"/>
          <w:szCs w:val="22"/>
          <w14:ligatures w14:val="none"/>
        </w:rPr>
        <w:t>Vanuit christelijk perspectief raakt ontwikkelingssamenwerking aan het Bijbelse gebod van naastenliefde en rentmeesterschap. De Bijbel roept op tot zorg voor de kwetsbare naaste, maar waarschuwt ook tegen afhankelijkheid, machtsmisbruik en schijnrechtvaardigheid. Dit spanningsveld maakt ontwikkelingssamenwerking tot een geschikt thema om leerlingen te leren zorgvuldig afwegen, zonder te vervallen in simpele tegenstellingen van ‘voor’ of ‘tegen’ hulp. De didactische insteek van dit thema sluit aan bij de didactische diamant.</w:t>
      </w:r>
    </w:p>
    <w:p w14:paraId="73BA7049"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p>
    <w:p w14:paraId="52729435" w14:textId="77777777" w:rsidR="002F46E1" w:rsidRPr="002F46E1" w:rsidRDefault="002F46E1" w:rsidP="002F46E1">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2F46E1">
        <w:rPr>
          <w:rFonts w:ascii="Calibri Light" w:eastAsia="Yu Gothic Light" w:hAnsi="Calibri Light" w:cs="Times New Roman"/>
          <w:color w:val="2F5496"/>
          <w:kern w:val="0"/>
          <w:sz w:val="26"/>
          <w:szCs w:val="26"/>
          <w14:ligatures w14:val="none"/>
        </w:rPr>
        <w:t>Kernnoties</w:t>
      </w:r>
    </w:p>
    <w:p w14:paraId="10ACA07B"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Welvaart meer dan inkomen</w:t>
      </w:r>
    </w:p>
    <w:p w14:paraId="49953F63"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Welvaart wordt in economische zin vaak gemeten met het inkomen per hoofd van de bevolking. Dit maakt vergelijking tussen landen mogelijk, maar laat belangrijke aspecten buiten beschouwing. Brede welvaart omvat ook zaken als inkomensverdeling, toegang tot onderwijs en zorg, veiligheid, milieukwaliteit en menselijke waardigheid.</w:t>
      </w:r>
    </w:p>
    <w:p w14:paraId="7DAD9559"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Ontwikkeling kan daarom niet gelijkgesteld worden aan economische groei alleen. In ontwikkelingslanden kan het nationaal inkomen stijgen, terwijl grote groepen mensen nauwelijks profiteren. Deze kernnotitie helpt leerlingen te begrijpen dat ontwikkeling een kwalitatief begrip is, waarbij de vraag centraal staat of mensen daadwerkelijk meer kansen krijgen om tot hun recht te komen.</w:t>
      </w:r>
    </w:p>
    <w:p w14:paraId="0747761D"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Vanuit christelijk perspectief sluit dit aan bij het besef dat de mens meer is dan een economische factor en dat welvaart ten dienste moet staan van het leven in verantwoordelijkheid voor God en de naaste.</w:t>
      </w:r>
    </w:p>
    <w:p w14:paraId="5B8AF6E6"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7D2EB084"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Economische oorzaken van armoede en ongelijkheid</w:t>
      </w:r>
    </w:p>
    <w:p w14:paraId="0336A56D"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Armoede kent meerdere oorzaken. Economische factoren zoals eenzijdige export, ongunstige ruilvoet en schuldenproblematiek spelen een rol, maar ook politieke en institutionele factoren zijn van groot belang. Zwakke instituties, corruptie, gebrek aan rechtszekerheid en slecht bestuur belemmeren duurzame ontwikkeling.</w:t>
      </w:r>
    </w:p>
    <w:p w14:paraId="6275089C"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Het voorbeeld van Noord- en Zuid-Korea laat zien dat natuurlijke omstandigheden alleen niet verklaren waarom landen arm of rijk zijn. Instituties – de ‘spelregels’ van de economie – maken een cruciaal verschil. Dit inzicht helpt leerlingen om af te stappen van het idee dat armoede altijd ‘eigen schuld’ is, zonder verantwoordelijkheid volledig weg te nemen.</w:t>
      </w:r>
    </w:p>
    <w:p w14:paraId="3ED8237D"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04D64296"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Ontwikkelingssamenwerking</w:t>
      </w:r>
    </w:p>
    <w:p w14:paraId="2AC5359B"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 xml:space="preserve">Ontwikkelingssamenwerking kent verschillende vormen, zoals noodhulp, structurele hulp, bilaterale en gebonden hulp. Een belangrijk spanningsveld is dat tussen hulp en afhankelijkheid. Hulp kan bijdragen aan verbetering van levensomstandigheden, maar </w:t>
      </w:r>
      <w:r w:rsidRPr="002F46E1">
        <w:rPr>
          <w:rFonts w:ascii="Verdana" w:eastAsia="Verdana" w:hAnsi="Verdana" w:cs="Verdana"/>
          <w:color w:val="000000"/>
          <w:kern w:val="0"/>
          <w:sz w:val="20"/>
          <w:szCs w:val="20"/>
          <w14:ligatures w14:val="none"/>
        </w:rPr>
        <w:lastRenderedPageBreak/>
        <w:t>kan ook ongewenste afhankelijkheidsrelaties versterken. Dit inzicht helpt leerlingen te begrijpen dat ontwikkelingssamenwerking geen neutraal instrument is, maar altijd keuzes en risico’s met zich meebrengt.</w:t>
      </w:r>
    </w:p>
    <w:p w14:paraId="6AA64F3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Vanuit christelijk perspectief is hierbij de vraag relevant hoe hulp kan bijdragen aan menselijke waardigheid en zelfverantwoordelijkheid, in plaats van mensen te reduceren tot ontvangers van barmhartigheid.</w:t>
      </w:r>
    </w:p>
    <w:p w14:paraId="093A4EB2"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1CE9C85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Handel</w:t>
      </w:r>
    </w:p>
    <w:p w14:paraId="4FB7D553"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Ontwikkeling wordt niet alleen beïnvloed door hulp, maar ook door internationale handel en de rol van bedrijven. Multinationale ondernemingen kunnen bijdragen aan werkgelegenheid en economische groei, maar ook leiden tot uitbuiting, milieuschade en ongelijke machtsverhoudingen.</w:t>
      </w:r>
    </w:p>
    <w:p w14:paraId="5A7FA692"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Dit inzicht laat leerlingen zien dat hulp en handel met elkaar verweven zijn en dat beleid op verschillende terreinen elkaar kan versterken of tegenwerken. Het concept van internationaal maatschappelijk verantwoord ondernemen (IMVO) vormt hierbij een belangrijk aanknopingspunt.</w:t>
      </w:r>
    </w:p>
    <w:p w14:paraId="6E260B93"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Christelijk gezien raakt dit aan rentmeesterschap: economische activiteiten mogen niet alleen gericht zijn op winst, maar moeten rekening houden met mens en schepping.</w:t>
      </w:r>
    </w:p>
    <w:p w14:paraId="4496ECC1"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6D0586BF"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Persoonlijke en maatschappelijke verantwoordelijkheid</w:t>
      </w:r>
    </w:p>
    <w:p w14:paraId="080F370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 xml:space="preserve">Ontwikkelingssamenwerking roept uiteindelijk de vraag op wat dit betekent voor onszelf: als burgers, consumenten en gelovigen. Leerlingen worden geconfronteerd met keuzes rond consumptie, </w:t>
      </w:r>
      <w:proofErr w:type="spellStart"/>
      <w:r w:rsidRPr="002F46E1">
        <w:rPr>
          <w:rFonts w:ascii="Verdana" w:eastAsia="Verdana" w:hAnsi="Verdana" w:cs="Verdana"/>
          <w:color w:val="000000"/>
          <w:kern w:val="0"/>
          <w:sz w:val="20"/>
          <w:szCs w:val="20"/>
          <w14:ligatures w14:val="none"/>
        </w:rPr>
        <w:t>fairtrade</w:t>
      </w:r>
      <w:proofErr w:type="spellEnd"/>
      <w:r w:rsidRPr="002F46E1">
        <w:rPr>
          <w:rFonts w:ascii="Verdana" w:eastAsia="Verdana" w:hAnsi="Verdana" w:cs="Verdana"/>
          <w:color w:val="000000"/>
          <w:kern w:val="0"/>
          <w:sz w:val="20"/>
          <w:szCs w:val="20"/>
          <w14:ligatures w14:val="none"/>
        </w:rPr>
        <w:t>, geven aan goede doelen en betrokkenheid via kerk en diaconie.</w:t>
      </w:r>
    </w:p>
    <w:p w14:paraId="4ABF329B"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Deze verantwoordelijkheid kent verschillende niveaus: overheid, bedrijven én huishoudens. Niet iedereen draagt dezelfde verantwoordelijkheid, maar niemand staat er volledig buiten.</w:t>
      </w:r>
    </w:p>
    <w:p w14:paraId="24053216"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Vanuit christelijk perspectief is dit geen oproep tot schuldgevoel, maar tot een bewuste en verantwoordelijke levenshouding.</w:t>
      </w:r>
    </w:p>
    <w:p w14:paraId="765F3E4C"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p>
    <w:p w14:paraId="3EE5CE50" w14:textId="77777777" w:rsidR="002F46E1" w:rsidRPr="002F46E1" w:rsidRDefault="002F46E1" w:rsidP="002F46E1">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2F46E1">
        <w:rPr>
          <w:rFonts w:ascii="Calibri Light" w:eastAsia="Yu Gothic Light" w:hAnsi="Calibri Light" w:cs="Times New Roman"/>
          <w:color w:val="2F5496"/>
          <w:kern w:val="0"/>
          <w:sz w:val="26"/>
          <w:szCs w:val="26"/>
          <w14:ligatures w14:val="none"/>
        </w:rPr>
        <w:t>Gesprekspunten vakgroep</w:t>
      </w:r>
    </w:p>
    <w:p w14:paraId="1128B1B3"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Balans tussen kennis, inzicht en houding</w:t>
      </w:r>
    </w:p>
    <w:p w14:paraId="6135E350"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In hoeverre slagen wij erin om bij het thema ontwikkelingssamenwerking een evenwicht te bewaren tussen economische kennis, begrip van samenhangen en vorming van houding?</w:t>
      </w:r>
    </w:p>
    <w:p w14:paraId="6B5E523F"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1C862117"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Christelijk perspectief: expliciet of impliciet?</w:t>
      </w:r>
    </w:p>
    <w:p w14:paraId="60B03FE7"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Hoe geven wij in dit thema vorm aan het christelijk perspectief: expliciet benoemd, of vooral impliciet aanwezig in keuzes, vragen en toon?</w:t>
      </w:r>
    </w:p>
    <w:p w14:paraId="649064DF"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127AA4B1"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 xml:space="preserve">Spanningsvelden </w:t>
      </w:r>
    </w:p>
    <w:p w14:paraId="060CE070"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Welke spanningsvelden rond ontwikkelingssamenwerking achten wij essentieel om leerlingen te laten zien, en welke zijn (voor bepaalde niveaus) te complex?</w:t>
      </w:r>
    </w:p>
    <w:p w14:paraId="370ADCC3"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Durven we deze spanningen open te laten, zonder ze ‘op te lossen’?</w:t>
      </w:r>
    </w:p>
    <w:p w14:paraId="36C407E5"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196FBAF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Beoordeling</w:t>
      </w:r>
    </w:p>
    <w:p w14:paraId="6E64DA0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Wat vinden wij dat leerlingen moeten laten zien bij toetsing van dit thema: vooral correcte kennis, of ook inzicht en beargumenteerde afweging?</w:t>
      </w:r>
    </w:p>
    <w:p w14:paraId="2E0DADF1" w14:textId="77777777" w:rsidR="002F46E1" w:rsidRPr="002F46E1" w:rsidRDefault="002F46E1" w:rsidP="002F46E1">
      <w:pPr>
        <w:spacing w:after="0" w:line="240" w:lineRule="auto"/>
        <w:rPr>
          <w:rFonts w:ascii="Verdana" w:eastAsia="Calibri" w:hAnsi="Verdana" w:cs="Times New Roman"/>
          <w:kern w:val="0"/>
          <w:sz w:val="20"/>
          <w:szCs w:val="22"/>
          <w14:ligatures w14:val="none"/>
        </w:rPr>
      </w:pPr>
    </w:p>
    <w:p w14:paraId="5DD6B736" w14:textId="77777777" w:rsidR="002F46E1" w:rsidRPr="002F46E1" w:rsidRDefault="002F46E1" w:rsidP="002F46E1">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2F46E1">
        <w:rPr>
          <w:rFonts w:ascii="Calibri Light" w:eastAsia="Yu Gothic Light" w:hAnsi="Calibri Light" w:cs="Times New Roman"/>
          <w:color w:val="2F5496"/>
          <w:kern w:val="0"/>
          <w:sz w:val="26"/>
          <w:szCs w:val="26"/>
          <w14:ligatures w14:val="none"/>
        </w:rPr>
        <w:t>Achtergrondinformatie en algemene suggesties</w:t>
      </w:r>
    </w:p>
    <w:p w14:paraId="113F8975"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Ontwikkelingssamenwerking is historisch gegroeid na de Tweede Wereldoorlog, onder andere via de Marshallhulp.</w:t>
      </w:r>
    </w:p>
    <w:p w14:paraId="4D890420"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Economische theorieën verschillen sterk in hun beoordeling van hulp (moderniseringstheorie, afhankelijkheidstheorie, neoliberale benadering).</w:t>
      </w:r>
    </w:p>
    <w:p w14:paraId="1C70296D"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Recente aandacht gaat uit naar samenhang tussen hulp, handel en duurzaamheid (</w:t>
      </w:r>
      <w:proofErr w:type="spellStart"/>
      <w:r w:rsidRPr="002F46E1">
        <w:rPr>
          <w:rFonts w:ascii="Verdana" w:eastAsia="Verdana" w:hAnsi="Verdana" w:cs="Verdana"/>
          <w:color w:val="000000"/>
          <w:kern w:val="0"/>
          <w:sz w:val="20"/>
          <w:szCs w:val="20"/>
          <w14:ligatures w14:val="none"/>
        </w:rPr>
        <w:t>SDG’s</w:t>
      </w:r>
      <w:proofErr w:type="spellEnd"/>
      <w:r w:rsidRPr="002F46E1">
        <w:rPr>
          <w:rFonts w:ascii="Verdana" w:eastAsia="Verdana" w:hAnsi="Verdana" w:cs="Verdana"/>
          <w:color w:val="000000"/>
          <w:kern w:val="0"/>
          <w:sz w:val="20"/>
          <w:szCs w:val="20"/>
          <w14:ligatures w14:val="none"/>
        </w:rPr>
        <w:t>, IMVO).</w:t>
      </w:r>
    </w:p>
    <w:p w14:paraId="15F2005C"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00048106"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Verbinding met methode: sluit aan bij hoofdstukken over welvaart, internationale handel en overheid.</w:t>
      </w:r>
    </w:p>
    <w:p w14:paraId="47D66E1D"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084B2B74"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b/>
          <w:bCs/>
          <w:color w:val="000000"/>
          <w:kern w:val="0"/>
          <w:sz w:val="20"/>
          <w:szCs w:val="20"/>
          <w14:ligatures w14:val="none"/>
        </w:rPr>
        <w:t>Aanvullende literatuur</w:t>
      </w:r>
    </w:p>
    <w:p w14:paraId="46CEA51B"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roofErr w:type="spellStart"/>
      <w:r w:rsidRPr="002F46E1">
        <w:rPr>
          <w:rFonts w:ascii="Verdana" w:eastAsia="Verdana" w:hAnsi="Verdana" w:cs="Verdana"/>
          <w:color w:val="000000"/>
          <w:kern w:val="0"/>
          <w:sz w:val="20"/>
          <w:szCs w:val="20"/>
          <w14:ligatures w14:val="none"/>
        </w:rPr>
        <w:t>Why</w:t>
      </w:r>
      <w:proofErr w:type="spellEnd"/>
      <w:r w:rsidRPr="002F46E1">
        <w:rPr>
          <w:rFonts w:ascii="Verdana" w:eastAsia="Verdana" w:hAnsi="Verdana" w:cs="Verdana"/>
          <w:color w:val="000000"/>
          <w:kern w:val="0"/>
          <w:sz w:val="20"/>
          <w:szCs w:val="20"/>
          <w14:ligatures w14:val="none"/>
        </w:rPr>
        <w:t xml:space="preserve"> Nations Fail – </w:t>
      </w:r>
      <w:proofErr w:type="spellStart"/>
      <w:r w:rsidRPr="002F46E1">
        <w:rPr>
          <w:rFonts w:ascii="Verdana" w:eastAsia="Verdana" w:hAnsi="Verdana" w:cs="Verdana"/>
          <w:color w:val="000000"/>
          <w:kern w:val="0"/>
          <w:sz w:val="20"/>
          <w:szCs w:val="20"/>
          <w14:ligatures w14:val="none"/>
        </w:rPr>
        <w:t>Acemoglu</w:t>
      </w:r>
      <w:proofErr w:type="spellEnd"/>
      <w:r w:rsidRPr="002F46E1">
        <w:rPr>
          <w:rFonts w:ascii="Verdana" w:eastAsia="Verdana" w:hAnsi="Verdana" w:cs="Verdana"/>
          <w:color w:val="000000"/>
          <w:kern w:val="0"/>
          <w:sz w:val="20"/>
          <w:szCs w:val="20"/>
          <w14:ligatures w14:val="none"/>
        </w:rPr>
        <w:t xml:space="preserve"> &amp; Robinson (instituties)</w:t>
      </w:r>
    </w:p>
    <w:p w14:paraId="00A0DDD8"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 xml:space="preserve">Bankier van de armen </w:t>
      </w:r>
      <w:proofErr w:type="spellStart"/>
      <w:r w:rsidRPr="002F46E1">
        <w:rPr>
          <w:rFonts w:ascii="Verdana" w:eastAsia="Verdana" w:hAnsi="Verdana" w:cs="Verdana"/>
          <w:color w:val="000000"/>
          <w:kern w:val="0"/>
          <w:sz w:val="20"/>
          <w:szCs w:val="20"/>
          <w14:ligatures w14:val="none"/>
        </w:rPr>
        <w:t>Muhammat</w:t>
      </w:r>
      <w:proofErr w:type="spellEnd"/>
      <w:r w:rsidRPr="002F46E1">
        <w:rPr>
          <w:rFonts w:ascii="Verdana" w:eastAsia="Verdana" w:hAnsi="Verdana" w:cs="Verdana"/>
          <w:color w:val="000000"/>
          <w:kern w:val="0"/>
          <w:sz w:val="20"/>
          <w:szCs w:val="20"/>
          <w14:ligatures w14:val="none"/>
        </w:rPr>
        <w:t xml:space="preserve"> </w:t>
      </w:r>
      <w:proofErr w:type="spellStart"/>
      <w:r w:rsidRPr="002F46E1">
        <w:rPr>
          <w:rFonts w:ascii="Verdana" w:eastAsia="Verdana" w:hAnsi="Verdana" w:cs="Verdana"/>
          <w:color w:val="000000"/>
          <w:kern w:val="0"/>
          <w:sz w:val="20"/>
          <w:szCs w:val="20"/>
          <w14:ligatures w14:val="none"/>
        </w:rPr>
        <w:t>Yunus</w:t>
      </w:r>
      <w:proofErr w:type="spellEnd"/>
    </w:p>
    <w:p w14:paraId="366B6390"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50D758B7"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 xml:space="preserve">Website: </w:t>
      </w:r>
      <w:hyperlink r:id="rId4">
        <w:r w:rsidRPr="002F46E1">
          <w:rPr>
            <w:rFonts w:ascii="Verdana" w:eastAsia="Calibri" w:hAnsi="Verdana" w:cs="Times New Roman"/>
            <w:color w:val="0563C1"/>
            <w:kern w:val="0"/>
            <w:sz w:val="20"/>
            <w:szCs w:val="20"/>
            <w:u w:val="single"/>
            <w14:ligatures w14:val="none"/>
          </w:rPr>
          <w:t>https://www.gapminder.org/dollar-street</w:t>
        </w:r>
      </w:hyperlink>
    </w:p>
    <w:p w14:paraId="70733BC5"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0FC8E5DC"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Dit is een Engelstalige interactieve website die laat zien hoe mensen over de hele wereld leven bij verschillende inkomensniveaus. Aan de hand van foto’s en verhalen van echte huishoudens krijg je een concreet beeld van wonen, eten, onderwijs en werk, ongeacht het land.</w:t>
      </w:r>
    </w:p>
    <w:p w14:paraId="2926F4F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5690DC4E" w14:textId="77777777" w:rsidR="002F46E1" w:rsidRPr="002F46E1" w:rsidRDefault="002F46E1" w:rsidP="002F46E1">
      <w:pPr>
        <w:spacing w:after="0" w:line="240" w:lineRule="auto"/>
        <w:rPr>
          <w:rFonts w:ascii="Verdana" w:eastAsia="Verdana" w:hAnsi="Verdana" w:cs="Verdana"/>
          <w:color w:val="000000"/>
          <w:kern w:val="0"/>
          <w:sz w:val="20"/>
          <w:szCs w:val="20"/>
          <w:lang w:val="fr-FR"/>
          <w14:ligatures w14:val="none"/>
        </w:rPr>
      </w:pPr>
      <w:proofErr w:type="spellStart"/>
      <w:r w:rsidRPr="002F46E1">
        <w:rPr>
          <w:rFonts w:ascii="Verdana" w:eastAsia="Verdana" w:hAnsi="Verdana" w:cs="Verdana"/>
          <w:color w:val="000000"/>
          <w:kern w:val="0"/>
          <w:sz w:val="20"/>
          <w:szCs w:val="20"/>
          <w:lang w:val="fr-FR"/>
          <w14:ligatures w14:val="none"/>
        </w:rPr>
        <w:t>Filmpje</w:t>
      </w:r>
      <w:proofErr w:type="spellEnd"/>
      <w:r w:rsidRPr="002F46E1">
        <w:rPr>
          <w:rFonts w:ascii="Verdana" w:eastAsia="Verdana" w:hAnsi="Verdana" w:cs="Verdana"/>
          <w:color w:val="000000"/>
          <w:kern w:val="0"/>
          <w:sz w:val="20"/>
          <w:szCs w:val="20"/>
          <w:lang w:val="fr-FR"/>
          <w14:ligatures w14:val="none"/>
        </w:rPr>
        <w:t xml:space="preserve"> Fairtrade </w:t>
      </w:r>
      <w:hyperlink r:id="rId5">
        <w:r w:rsidRPr="002F46E1">
          <w:rPr>
            <w:rFonts w:ascii="Verdana" w:eastAsia="Calibri" w:hAnsi="Verdana" w:cs="Times New Roman"/>
            <w:color w:val="0563C1"/>
            <w:kern w:val="0"/>
            <w:sz w:val="20"/>
            <w:szCs w:val="20"/>
            <w:u w:val="single"/>
            <w:lang w:val="fr-FR"/>
            <w14:ligatures w14:val="none"/>
          </w:rPr>
          <w:t>https://youtu.be/bi3ieBeZGw8?si=rl1GLf4vfdeJjJbV</w:t>
        </w:r>
      </w:hyperlink>
    </w:p>
    <w:p w14:paraId="0E60931A" w14:textId="77777777" w:rsidR="002F46E1" w:rsidRPr="002F46E1" w:rsidRDefault="002F46E1" w:rsidP="002F46E1">
      <w:pPr>
        <w:spacing w:after="0" w:line="240" w:lineRule="auto"/>
        <w:rPr>
          <w:rFonts w:ascii="Verdana" w:eastAsia="Verdana" w:hAnsi="Verdana" w:cs="Verdana"/>
          <w:color w:val="000000"/>
          <w:kern w:val="0"/>
          <w:sz w:val="20"/>
          <w:szCs w:val="20"/>
          <w:lang w:val="fr-FR"/>
          <w14:ligatures w14:val="none"/>
        </w:rPr>
      </w:pPr>
    </w:p>
    <w:p w14:paraId="29F7FC1A"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r w:rsidRPr="002F46E1">
        <w:rPr>
          <w:rFonts w:ascii="Verdana" w:eastAsia="Verdana" w:hAnsi="Verdana" w:cs="Verdana"/>
          <w:color w:val="000000"/>
          <w:kern w:val="0"/>
          <w:sz w:val="20"/>
          <w:szCs w:val="20"/>
          <w14:ligatures w14:val="none"/>
        </w:rPr>
        <w:t xml:space="preserve">Website: </w:t>
      </w:r>
      <w:hyperlink r:id="rId6">
        <w:r w:rsidRPr="002F46E1">
          <w:rPr>
            <w:rFonts w:ascii="Verdana" w:eastAsia="Calibri" w:hAnsi="Verdana" w:cs="Times New Roman"/>
            <w:color w:val="0563C1"/>
            <w:kern w:val="0"/>
            <w:sz w:val="20"/>
            <w:szCs w:val="20"/>
            <w:u w:val="single"/>
            <w14:ligatures w14:val="none"/>
          </w:rPr>
          <w:t>https://esb.nu/wisselende-prioriteiten-in-ontwikkelingsbeleid-tasten-reputatie-nederland-aan/</w:t>
        </w:r>
      </w:hyperlink>
    </w:p>
    <w:p w14:paraId="298F3901" w14:textId="77777777" w:rsidR="002F46E1" w:rsidRPr="002F46E1" w:rsidRDefault="002F46E1" w:rsidP="002F46E1">
      <w:pPr>
        <w:spacing w:after="0" w:line="240" w:lineRule="auto"/>
        <w:rPr>
          <w:rFonts w:ascii="Verdana" w:eastAsia="Verdana" w:hAnsi="Verdana" w:cs="Verdana"/>
          <w:color w:val="000000"/>
          <w:kern w:val="0"/>
          <w:sz w:val="20"/>
          <w:szCs w:val="20"/>
          <w14:ligatures w14:val="none"/>
        </w:rPr>
      </w:pPr>
    </w:p>
    <w:p w14:paraId="7853D822" w14:textId="77777777" w:rsidR="002F46E1" w:rsidRDefault="002F46E1"/>
    <w:sectPr w:rsidR="002F46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6E1"/>
    <w:rsid w:val="002F46E1"/>
    <w:rsid w:val="007969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8AD5"/>
  <w15:chartTrackingRefBased/>
  <w15:docId w15:val="{5EEA4915-691A-471E-A98E-E609B1CB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4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4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F46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46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46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46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46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46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46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46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46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F46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46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46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46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46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46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46E1"/>
    <w:rPr>
      <w:rFonts w:eastAsiaTheme="majorEastAsia" w:cstheme="majorBidi"/>
      <w:color w:val="272727" w:themeColor="text1" w:themeTint="D8"/>
    </w:rPr>
  </w:style>
  <w:style w:type="paragraph" w:styleId="Titel">
    <w:name w:val="Title"/>
    <w:basedOn w:val="Standaard"/>
    <w:next w:val="Standaard"/>
    <w:link w:val="TitelChar"/>
    <w:uiPriority w:val="10"/>
    <w:qFormat/>
    <w:rsid w:val="002F4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46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46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46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46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46E1"/>
    <w:rPr>
      <w:i/>
      <w:iCs/>
      <w:color w:val="404040" w:themeColor="text1" w:themeTint="BF"/>
    </w:rPr>
  </w:style>
  <w:style w:type="paragraph" w:styleId="Lijstalinea">
    <w:name w:val="List Paragraph"/>
    <w:basedOn w:val="Standaard"/>
    <w:uiPriority w:val="34"/>
    <w:qFormat/>
    <w:rsid w:val="002F46E1"/>
    <w:pPr>
      <w:ind w:left="720"/>
      <w:contextualSpacing/>
    </w:pPr>
  </w:style>
  <w:style w:type="character" w:styleId="Intensievebenadrukking">
    <w:name w:val="Intense Emphasis"/>
    <w:basedOn w:val="Standaardalinea-lettertype"/>
    <w:uiPriority w:val="21"/>
    <w:qFormat/>
    <w:rsid w:val="002F46E1"/>
    <w:rPr>
      <w:i/>
      <w:iCs/>
      <w:color w:val="0F4761" w:themeColor="accent1" w:themeShade="BF"/>
    </w:rPr>
  </w:style>
  <w:style w:type="paragraph" w:styleId="Duidelijkcitaat">
    <w:name w:val="Intense Quote"/>
    <w:basedOn w:val="Standaard"/>
    <w:next w:val="Standaard"/>
    <w:link w:val="DuidelijkcitaatChar"/>
    <w:uiPriority w:val="30"/>
    <w:qFormat/>
    <w:rsid w:val="002F4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46E1"/>
    <w:rPr>
      <w:i/>
      <w:iCs/>
      <w:color w:val="0F4761" w:themeColor="accent1" w:themeShade="BF"/>
    </w:rPr>
  </w:style>
  <w:style w:type="character" w:styleId="Intensieveverwijzing">
    <w:name w:val="Intense Reference"/>
    <w:basedOn w:val="Standaardalinea-lettertype"/>
    <w:uiPriority w:val="32"/>
    <w:qFormat/>
    <w:rsid w:val="002F46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b.nu/wisselende-prioriteiten-in-ontwikkelingsbeleid-tasten-reputatie-nederland-aan/" TargetMode="External"/><Relationship Id="rId5" Type="http://schemas.openxmlformats.org/officeDocument/2006/relationships/hyperlink" Target="https://youtu.be/bi3ieBeZGw8?si=rl1GLf4vfdeJjJbV" TargetMode="External"/><Relationship Id="rId4" Type="http://schemas.openxmlformats.org/officeDocument/2006/relationships/hyperlink" Target="https://www.gapminder.org/dollar-stree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6234</Characters>
  <Application>Microsoft Office Word</Application>
  <DocSecurity>0</DocSecurity>
  <Lines>51</Lines>
  <Paragraphs>14</Paragraphs>
  <ScaleCrop>false</ScaleCrop>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2026-08-25T10:08:00Z</dcterms:created>
  <dcterms:modified xsi:type="dcterms:W3CDTF">2026-08-25T10:08:00Z</dcterms:modified>
</cp:coreProperties>
</file>