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8743" w14:textId="77777777" w:rsidR="00A56138" w:rsidRDefault="00A56138" w:rsidP="00A56138">
      <w:pPr>
        <w:pStyle w:val="Kop2"/>
        <w:jc w:val="both"/>
      </w:pPr>
      <w:bookmarkStart w:id="0" w:name="_Toc168738306"/>
    </w:p>
    <w:p w14:paraId="660BFBC4" w14:textId="76A78658" w:rsidR="00A56138" w:rsidRDefault="00A56138" w:rsidP="00A56138">
      <w:pPr>
        <w:pStyle w:val="Kop1"/>
        <w:jc w:val="both"/>
        <w:rPr>
          <w:highlight w:val="yellow"/>
        </w:rPr>
      </w:pPr>
      <w:bookmarkStart w:id="1" w:name="_Toc168738305"/>
      <w:r>
        <w:t>Handreiking thema Wereldvoedselvraagstuk</w:t>
      </w:r>
      <w:bookmarkEnd w:id="1"/>
      <w:r>
        <w:t xml:space="preserve"> </w:t>
      </w:r>
    </w:p>
    <w:p w14:paraId="354A0ACC" w14:textId="4C22E6F1" w:rsidR="00A56138" w:rsidRDefault="00A56138" w:rsidP="00A56138">
      <w:pPr>
        <w:pStyle w:val="Kop2"/>
        <w:jc w:val="both"/>
      </w:pPr>
      <w:r>
        <w:t>Introductie</w:t>
      </w:r>
      <w:bookmarkEnd w:id="0"/>
    </w:p>
    <w:p w14:paraId="748CF42C" w14:textId="77777777" w:rsidR="00A56138" w:rsidRDefault="00A56138" w:rsidP="00A56138">
      <w:pPr>
        <w:jc w:val="both"/>
        <w:rPr>
          <w:color w:val="333333"/>
          <w:shd w:val="clear" w:color="auto" w:fill="FFFFFF"/>
        </w:rPr>
      </w:pPr>
      <w:r>
        <w:rPr>
          <w:color w:val="333333"/>
          <w:shd w:val="clear" w:color="auto" w:fill="FFFFFF"/>
        </w:rPr>
        <w:t xml:space="preserve">Het wereldvoedselvraagstuk is een breed begrip. Doordat de wereldbevolking waarschijnlijk voorlopig nog groeit, wordt het moeilijker om alle monden te voeden. In 2050 zal de wereldbevolking naar verwachting met meer dan twee miljard gegroeid zijn naar een totaal van bijna tien miljard. Er is veel voedsel beschikbaar op de wereld, maar de verdeling is niet optimaal. Er vallen veel verschillende vragen onder het wereldvoedselvraagstuk, bijvoorbeeld: hoe verdelen we het beschikbare voedsel? Is het hoge geboortecijfer in arme landen de oorzaak van voedseltekort </w:t>
      </w:r>
    </w:p>
    <w:p w14:paraId="5E802170" w14:textId="77777777" w:rsidR="00A56138" w:rsidRDefault="00A56138" w:rsidP="00A56138">
      <w:pPr>
        <w:jc w:val="both"/>
        <w:rPr>
          <w:color w:val="333333"/>
        </w:rPr>
      </w:pPr>
      <w:r>
        <w:rPr>
          <w:color w:val="333333"/>
          <w:shd w:val="clear" w:color="auto" w:fill="FFFFFF"/>
        </w:rPr>
        <w:t xml:space="preserve">In arme landen is er vaak een geboorteoverschot met onder andere voedseltekort als gevolg. In rijke landen is er ondanks een dalend geboortecijfer door de stijgende welvaart, secularisatie en emancipatie sprake van vergrijzing en een meer multiculturele samenleving (door immigratie). Door die welvaart wordt er een enorm beroep gedaan op het beschikbare voedsel. </w:t>
      </w:r>
    </w:p>
    <w:p w14:paraId="748F9D6D" w14:textId="77777777" w:rsidR="00A56138" w:rsidRDefault="00A56138" w:rsidP="00A56138">
      <w:pPr>
        <w:jc w:val="both"/>
      </w:pPr>
    </w:p>
    <w:p w14:paraId="44975356" w14:textId="77777777" w:rsidR="00A56138" w:rsidRPr="00DE2813" w:rsidRDefault="00A56138" w:rsidP="00A56138">
      <w:pPr>
        <w:jc w:val="both"/>
        <w:rPr>
          <w:b/>
          <w:bCs/>
        </w:rPr>
      </w:pPr>
      <w:r w:rsidRPr="7AEC88D5">
        <w:rPr>
          <w:b/>
          <w:bCs/>
        </w:rPr>
        <w:t>Visie</w:t>
      </w:r>
    </w:p>
    <w:p w14:paraId="7C64E414" w14:textId="77777777" w:rsidR="00A56138" w:rsidRDefault="00A56138" w:rsidP="00A56138">
      <w:pPr>
        <w:jc w:val="both"/>
      </w:pPr>
      <w:r>
        <w:t>Het vak aardrijkskunde wil leerlingen leren nadenken over wat het voedselvraagstuk inhoudt. Ook wil het leerlingen leren hoe de ruimtelijke spreiding van de ondervoeding in de wereld is. Van belang is ook om te begrijpen welke rol economische globalisering en economische beschermingsmaatregelen een rol spelen bij het wereldvoedselvraagstuk. Verder is het belangrijk voor leerlingen te beseffen dat het wereldvoedselvraagstuk een maatschappelijk vraagstuk is en dat het te maken heeft met verschillen in landbezit en geboortecijfers. Verder gaat het over de draagkracht van de aarde, die beperkt lijkt te zijn en over de bedreigingen die er zijn voor de toekomstige wereldvoedselproductie.</w:t>
      </w:r>
    </w:p>
    <w:p w14:paraId="458ECB4D" w14:textId="77777777" w:rsidR="00A56138" w:rsidRDefault="00A56138" w:rsidP="00A56138">
      <w:pPr>
        <w:jc w:val="both"/>
      </w:pPr>
    </w:p>
    <w:p w14:paraId="121A2284" w14:textId="77777777" w:rsidR="00A56138" w:rsidRDefault="00A56138" w:rsidP="00A56138">
      <w:pPr>
        <w:jc w:val="both"/>
      </w:pPr>
      <w:r>
        <w:t>Het wereldvoedselvraagstuk gaat ook over gedragsverandering van de mensheid die nodig is om echt wat aan de problematiek van voedseltekorten te doen. Daar sluiten dan ook Bijbelse noties bij aan: bouwen en bewaren, goed rentmeester zijn. Het lijkt een onmogelijke, te omvangrijke opgave voor de wereldbevolking.</w:t>
      </w:r>
    </w:p>
    <w:p w14:paraId="0FAAD7C1" w14:textId="77777777" w:rsidR="00A56138" w:rsidRDefault="00A56138" w:rsidP="00A56138">
      <w:pPr>
        <w:jc w:val="both"/>
      </w:pPr>
    </w:p>
    <w:p w14:paraId="2823CAA0" w14:textId="77777777" w:rsidR="00A56138" w:rsidRDefault="00A56138" w:rsidP="00A56138">
      <w:pPr>
        <w:jc w:val="both"/>
      </w:pPr>
      <w:r>
        <w:t xml:space="preserve">Wat opvalt in de Bijbel is dat er vaak gesproken wordt over voedsel in positieve zin, dat begint al in Genesis 1 en 2. Daar kun je verwonderd over zijn, elke dag weer opnieuw. De Heere Jezus vergelijkt zichzelf met het ‘Brood des levens’. Wie tot Hem komt zal nooit meer honger hebben. Ook in het ‘Onze Vader’ heeft voedsel een belangrijke plaats. De afhankelijkheid en voorzienigheid nemen een belangrijke plaats in. </w:t>
      </w:r>
    </w:p>
    <w:p w14:paraId="002128DB" w14:textId="77777777" w:rsidR="00A56138" w:rsidRDefault="00A56138" w:rsidP="00A56138">
      <w:pPr>
        <w:jc w:val="both"/>
      </w:pPr>
    </w:p>
    <w:p w14:paraId="13290D0A" w14:textId="77777777" w:rsidR="00A56138" w:rsidRDefault="00A56138" w:rsidP="00A56138">
      <w:pPr>
        <w:jc w:val="both"/>
      </w:pPr>
      <w:r>
        <w:t xml:space="preserve">We lezen in de Bijbel ook over voorspellingen wat betreft voedseltekorten (Matth. 24, Markus 13). Ook in Openbaring wordt over voedseltekorten gesproken. Dat zijn aangrijpende voorbeelden van hoe het er in de wereld aan toe zal gaan in de eindtijd waarin we leven. </w:t>
      </w:r>
    </w:p>
    <w:p w14:paraId="28E5E3F2" w14:textId="77777777" w:rsidR="00A56138" w:rsidRDefault="00A56138" w:rsidP="00A56138">
      <w:pPr>
        <w:jc w:val="both"/>
      </w:pPr>
    </w:p>
    <w:p w14:paraId="16667C50" w14:textId="77777777" w:rsidR="00A56138" w:rsidRDefault="00A56138" w:rsidP="00A56138">
      <w:pPr>
        <w:jc w:val="both"/>
        <w:rPr>
          <w:b/>
          <w:bCs/>
        </w:rPr>
      </w:pPr>
    </w:p>
    <w:p w14:paraId="74BBB3FE" w14:textId="77777777" w:rsidR="00A56138" w:rsidRPr="003118EF" w:rsidRDefault="00A56138" w:rsidP="00A56138">
      <w:pPr>
        <w:jc w:val="both"/>
        <w:rPr>
          <w:b/>
          <w:bCs/>
        </w:rPr>
      </w:pPr>
      <w:r w:rsidRPr="003118EF">
        <w:rPr>
          <w:b/>
          <w:bCs/>
        </w:rPr>
        <w:t>Didactische diamant</w:t>
      </w:r>
    </w:p>
    <w:p w14:paraId="5FF51A8C" w14:textId="77777777" w:rsidR="00A56138" w:rsidRDefault="00A56138" w:rsidP="00A56138">
      <w:pPr>
        <w:pStyle w:val="Lijstalinea"/>
        <w:numPr>
          <w:ilvl w:val="0"/>
          <w:numId w:val="2"/>
        </w:numPr>
        <w:spacing w:after="160" w:line="259" w:lineRule="auto"/>
        <w:jc w:val="both"/>
      </w:pPr>
      <w:r w:rsidRPr="7FED0CD6">
        <w:t xml:space="preserve">Binnen het thema Armen rijk leggen we in thema de nadruk op het </w:t>
      </w:r>
      <w:proofErr w:type="spellStart"/>
      <w:r w:rsidRPr="7FED0CD6">
        <w:t>wereldvoedselvraagtuk</w:t>
      </w:r>
      <w:proofErr w:type="spellEnd"/>
      <w:r w:rsidRPr="7FED0CD6">
        <w:t>.</w:t>
      </w:r>
    </w:p>
    <w:p w14:paraId="59084FB0" w14:textId="77777777" w:rsidR="00A56138" w:rsidRDefault="00A56138" w:rsidP="00A56138">
      <w:pPr>
        <w:pStyle w:val="Lijstalinea"/>
        <w:numPr>
          <w:ilvl w:val="0"/>
          <w:numId w:val="2"/>
        </w:numPr>
        <w:spacing w:after="160" w:line="259" w:lineRule="auto"/>
        <w:jc w:val="both"/>
      </w:pPr>
      <w:r>
        <w:t xml:space="preserve">Kenmerkende thema's zijn hierbij: de verdeling en verspilling van voedsel, het spreidingspatroon van landen met honger, grondbezitsverhoudingen en de draagkracht van de </w:t>
      </w:r>
      <w:proofErr w:type="gramStart"/>
      <w:r>
        <w:t>aarde(</w:t>
      </w:r>
      <w:proofErr w:type="gramEnd"/>
      <w:r>
        <w:t>Gods schepping)</w:t>
      </w:r>
    </w:p>
    <w:p w14:paraId="2EE6032E" w14:textId="77777777" w:rsidR="00A56138" w:rsidRDefault="00A56138" w:rsidP="00A56138">
      <w:pPr>
        <w:pStyle w:val="Lijstalinea"/>
        <w:numPr>
          <w:ilvl w:val="0"/>
          <w:numId w:val="2"/>
        </w:numPr>
        <w:spacing w:after="160" w:line="259" w:lineRule="auto"/>
        <w:jc w:val="both"/>
      </w:pPr>
      <w:hyperlink r:id="rId5">
        <w:r w:rsidRPr="7FED0CD6">
          <w:rPr>
            <w:rStyle w:val="Hyperlink"/>
          </w:rPr>
          <w:t>Dit moet je weten over eten niet opeten (nos.nl)</w:t>
        </w:r>
      </w:hyperlink>
      <w:r w:rsidRPr="7FED0CD6">
        <w:t xml:space="preserve">  </w:t>
      </w:r>
      <w:hyperlink r:id="rId6">
        <w:r w:rsidRPr="7FED0CD6">
          <w:rPr>
            <w:rStyle w:val="Hyperlink"/>
          </w:rPr>
          <w:t>Onderzoek: wereldwijd wordt jaarlijks vlees van 18 miljard dieren weggegooid (nos.nl)</w:t>
        </w:r>
      </w:hyperlink>
      <w:r>
        <w:t xml:space="preserve">  </w:t>
      </w:r>
      <w:hyperlink r:id="rId7">
        <w:r w:rsidRPr="7FED0CD6">
          <w:rPr>
            <w:rStyle w:val="Hyperlink"/>
          </w:rPr>
          <w:t>VILT vzw</w:t>
        </w:r>
      </w:hyperlink>
      <w:r w:rsidRPr="7FED0CD6">
        <w:t xml:space="preserve"> </w:t>
      </w:r>
    </w:p>
    <w:p w14:paraId="4914D94C" w14:textId="77777777" w:rsidR="00A56138" w:rsidRDefault="00A56138" w:rsidP="00A56138">
      <w:pPr>
        <w:pStyle w:val="Lijstalinea"/>
        <w:numPr>
          <w:ilvl w:val="0"/>
          <w:numId w:val="2"/>
        </w:numPr>
        <w:spacing w:after="160" w:line="259" w:lineRule="auto"/>
        <w:jc w:val="both"/>
      </w:pPr>
      <w:r>
        <w:lastRenderedPageBreak/>
        <w:t xml:space="preserve">Het wereldvoedselvraagstuk wordt zichtbaar in problematiek die er is in de voedselverdeling en politieke machtsverhoudingen die ervoor zorgen dat het voedsel ongelijk verdeeld wordt. Vragen hierbij zouden kunnen zijn: hoeveel recht heb je op voldoende voedsel? Of: waarom hebben wij wel constant de beschikking over voedsel?  </w:t>
      </w:r>
    </w:p>
    <w:p w14:paraId="3FE10D6E" w14:textId="77777777" w:rsidR="00A56138" w:rsidRPr="003E797B" w:rsidRDefault="00A56138" w:rsidP="00A56138">
      <w:pPr>
        <w:pStyle w:val="Lijstalinea"/>
        <w:numPr>
          <w:ilvl w:val="0"/>
          <w:numId w:val="2"/>
        </w:numPr>
        <w:spacing w:after="160" w:line="259" w:lineRule="auto"/>
        <w:jc w:val="both"/>
      </w:pPr>
      <w:r>
        <w:t xml:space="preserve">Het gaat erom dat leerlingen zelf iets ervaren dat een mens geneigd is zichzelf voorop te stellen ten koste van anderen. Een werkvorm die dat laat ervaren is bijvoorbeeld een pakje koeken verdelen in de klas, en dan in verhouding hoe de wereldbevolking zich verhoudt tot het beschikbare voedsel. De verdeling blijkt dan heel scheef wat leerlingen op dat moment zelf ervaren. </w:t>
      </w:r>
    </w:p>
    <w:p w14:paraId="37CD001D" w14:textId="77777777" w:rsidR="00A56138" w:rsidRDefault="00A56138" w:rsidP="00A56138">
      <w:pPr>
        <w:pStyle w:val="Lijstalinea"/>
        <w:numPr>
          <w:ilvl w:val="0"/>
          <w:numId w:val="2"/>
        </w:numPr>
        <w:spacing w:after="160" w:line="259" w:lineRule="auto"/>
        <w:jc w:val="both"/>
      </w:pPr>
      <w:r>
        <w:t>Hoop krijgt gestalte, als in het klassengesprek de relatie met het (eigen) dagelijks gedrag wordt gelegd. Actie is nodig én mogelijk, ook door individuele burgers. In de klas kan ook gesproken worden over de hoop die er als het goed is in elke christen is als het gaat om de toekomst waarin nooit meer gehongerd en gedorst zal worden. De Heere Jezus noemt zichzelf niet voor niets het Brood des Levens.</w:t>
      </w:r>
    </w:p>
    <w:p w14:paraId="4E8A397E" w14:textId="77777777" w:rsidR="00A56138" w:rsidRDefault="00A56138" w:rsidP="00A56138">
      <w:pPr>
        <w:pStyle w:val="Lijstalinea"/>
        <w:numPr>
          <w:ilvl w:val="0"/>
          <w:numId w:val="2"/>
        </w:numPr>
        <w:spacing w:after="160" w:line="259" w:lineRule="auto"/>
        <w:jc w:val="both"/>
      </w:pPr>
      <w:r>
        <w:t>Opvattingen die technologische vooruitgang en een positief mensbeeld zien als oplossing van de ongelijke voedselverdeling, doorzien en bestrijden. Dit komt het dienen van God in de weg te staan. Eigen gedrag geleid door zelfgerichtheid, overconsumptie en voedselverspilling komt hier ook ter sprake.</w:t>
      </w:r>
    </w:p>
    <w:p w14:paraId="27CC7243" w14:textId="77777777" w:rsidR="00A56138" w:rsidRDefault="00A56138" w:rsidP="00A56138">
      <w:pPr>
        <w:jc w:val="both"/>
      </w:pPr>
    </w:p>
    <w:p w14:paraId="694845DC" w14:textId="77777777" w:rsidR="00A56138" w:rsidRDefault="00A56138" w:rsidP="00A56138">
      <w:pPr>
        <w:pStyle w:val="Kop2"/>
        <w:jc w:val="both"/>
      </w:pPr>
      <w:bookmarkStart w:id="2" w:name="_Toc168738307"/>
      <w:r>
        <w:t>Kernnoties</w:t>
      </w:r>
      <w:bookmarkEnd w:id="2"/>
    </w:p>
    <w:p w14:paraId="14ACFABE" w14:textId="77777777" w:rsidR="00A56138" w:rsidRDefault="00A56138" w:rsidP="00A56138">
      <w:pPr>
        <w:jc w:val="both"/>
      </w:pPr>
      <w:r>
        <w:t>Het wereldvoedselvraagstuk heeft veel overlap met andere thema’s als arm en rijk en klimaatverandering. In dit hoofdstuk gaat het om de volgende onderwerpen:</w:t>
      </w:r>
    </w:p>
    <w:p w14:paraId="4B1BFB21" w14:textId="77777777" w:rsidR="00A56138" w:rsidRDefault="00A56138" w:rsidP="00A56138">
      <w:pPr>
        <w:jc w:val="both"/>
      </w:pPr>
    </w:p>
    <w:p w14:paraId="0B7DEBFF" w14:textId="77777777" w:rsidR="00A56138" w:rsidRDefault="00A56138" w:rsidP="00A56138">
      <w:pPr>
        <w:pStyle w:val="Lijstalinea"/>
        <w:numPr>
          <w:ilvl w:val="0"/>
          <w:numId w:val="3"/>
        </w:numPr>
        <w:jc w:val="both"/>
      </w:pPr>
      <w:r>
        <w:t>Voedselverdeling: Op mondiale schaal is het voedsel oneerlijk verdeeld, westerse landen spelen daarin een rol door protectiemaatregelen en landbouwinnovaties. Binnen een land (nationale schaal) speelt landverdeling als gevolg van de koloniale tijd een belangrijke rol, indirect dus ook invloed van het westen.</w:t>
      </w:r>
    </w:p>
    <w:p w14:paraId="78D3424A" w14:textId="77777777" w:rsidR="00A56138" w:rsidRDefault="00A56138" w:rsidP="00A56138">
      <w:pPr>
        <w:pStyle w:val="Lijstalinea"/>
        <w:numPr>
          <w:ilvl w:val="0"/>
          <w:numId w:val="3"/>
        </w:numPr>
        <w:jc w:val="both"/>
      </w:pPr>
      <w:r>
        <w:t>Draagkracht van de aarde: de ecologische voetafdruk is van veel mensen te groot waardoor de aarde wordt uitgeput. Dit komt onder andere door overconsumptie en voedselverspilling. Begrippen als matigheid en rentmeesterschap komen hier aan de orde.</w:t>
      </w:r>
    </w:p>
    <w:p w14:paraId="5BA31AF9" w14:textId="77777777" w:rsidR="00A56138" w:rsidRDefault="00A56138" w:rsidP="00A56138">
      <w:pPr>
        <w:pStyle w:val="Lijstalinea"/>
        <w:numPr>
          <w:ilvl w:val="0"/>
          <w:numId w:val="3"/>
        </w:numPr>
        <w:jc w:val="both"/>
      </w:pPr>
      <w:r>
        <w:t>Naastenliefde: als christen is het onze plicht om voor naasten te zorgen die voedsel te kort hebben. Mondiaal (via grote internationale hulporganisaties), maar ook lokaal (via voedselbanken). Waarbij het besef er moet zijn dat het wereldvoedselvraagstuk complex is en niet makkelijk op te lossen (maakbaarheid).</w:t>
      </w:r>
    </w:p>
    <w:p w14:paraId="1B4EB9AC" w14:textId="77777777" w:rsidR="00A56138" w:rsidRDefault="00A56138" w:rsidP="00A56138">
      <w:pPr>
        <w:pStyle w:val="Lijstalinea"/>
        <w:numPr>
          <w:ilvl w:val="0"/>
          <w:numId w:val="3"/>
        </w:numPr>
        <w:jc w:val="both"/>
      </w:pPr>
      <w:r>
        <w:t>Geestelijk voedsel: de zorg voor het lichaam is belangrijk, overconsumptie is zonde tegen het 6</w:t>
      </w:r>
      <w:r w:rsidRPr="0047571D">
        <w:rPr>
          <w:vertAlign w:val="superscript"/>
        </w:rPr>
        <w:t>e</w:t>
      </w:r>
      <w:r>
        <w:t xml:space="preserve"> gebod. Maar de zorg voor de ziel met het Brood des levens is belangrijker.</w:t>
      </w:r>
    </w:p>
    <w:p w14:paraId="3635AE96" w14:textId="77777777" w:rsidR="00A56138" w:rsidRDefault="00A56138" w:rsidP="00A56138">
      <w:pPr>
        <w:jc w:val="both"/>
      </w:pPr>
    </w:p>
    <w:p w14:paraId="447785B0" w14:textId="77777777" w:rsidR="00A56138" w:rsidRDefault="00A56138" w:rsidP="00A56138">
      <w:pPr>
        <w:pStyle w:val="Kop2"/>
        <w:jc w:val="both"/>
      </w:pPr>
      <w:bookmarkStart w:id="3" w:name="_Toc168738308"/>
      <w:r>
        <w:t>Gesprekspunten vakgroep</w:t>
      </w:r>
      <w:bookmarkEnd w:id="3"/>
    </w:p>
    <w:p w14:paraId="38507892" w14:textId="77777777" w:rsidR="00A56138" w:rsidRDefault="00A56138" w:rsidP="00A56138">
      <w:pPr>
        <w:jc w:val="both"/>
      </w:pPr>
      <w:r w:rsidRPr="7FED0CD6">
        <w:rPr>
          <w:i/>
          <w:iCs/>
        </w:rPr>
        <w:t>Enkele gesprekspunten voor een agendapunt in de vakgroep. Voortbouwend op het vakconcept en de kernnoties</w:t>
      </w:r>
    </w:p>
    <w:p w14:paraId="022E4565" w14:textId="77777777" w:rsidR="00A56138" w:rsidRDefault="00A56138" w:rsidP="00A56138">
      <w:pPr>
        <w:jc w:val="both"/>
      </w:pPr>
      <w:r>
        <w:t>Hoe roeren we thema soberheid aan onder onze leerlingen?</w:t>
      </w:r>
    </w:p>
    <w:p w14:paraId="4428EAB0" w14:textId="77777777" w:rsidR="00A56138" w:rsidRDefault="00A56138" w:rsidP="00A56138">
      <w:pPr>
        <w:jc w:val="both"/>
      </w:pPr>
      <w:r>
        <w:t>Zijn kleine acties als vasten, geld inzamelen enz. met een klas mogelijk/wenselijk?</w:t>
      </w:r>
    </w:p>
    <w:p w14:paraId="70C04837" w14:textId="77777777" w:rsidR="00A56138" w:rsidRDefault="00A56138" w:rsidP="00A56138">
      <w:pPr>
        <w:jc w:val="both"/>
      </w:pPr>
      <w:r>
        <w:t>Hoe voorkomen we dat ook dit een onderwerp wordt waar we niets aan lijken te kunnen doen vanwege de omvang van de problematiek?</w:t>
      </w:r>
    </w:p>
    <w:p w14:paraId="1B9F5481" w14:textId="77777777" w:rsidR="00A56138" w:rsidRDefault="00A56138" w:rsidP="00A56138">
      <w:pPr>
        <w:jc w:val="both"/>
      </w:pPr>
      <w:r>
        <w:t>Hoe bereiken we zonder te preken de zorg voor onze ziel onder de aandacht van jongeren?</w:t>
      </w:r>
    </w:p>
    <w:p w14:paraId="4A798957" w14:textId="77777777" w:rsidR="00A56138" w:rsidRDefault="00A56138" w:rsidP="00A56138">
      <w:pPr>
        <w:rPr>
          <w:rFonts w:asciiTheme="majorHAnsi" w:eastAsiaTheme="majorEastAsia" w:hAnsiTheme="majorHAnsi" w:cstheme="majorBidi"/>
          <w:color w:val="0F4761" w:themeColor="accent1" w:themeShade="BF"/>
          <w:sz w:val="26"/>
          <w:szCs w:val="26"/>
        </w:rPr>
      </w:pPr>
      <w:r>
        <w:br w:type="page"/>
      </w:r>
    </w:p>
    <w:p w14:paraId="3396BC74" w14:textId="77777777" w:rsidR="00A56138" w:rsidRDefault="00A56138" w:rsidP="00A56138">
      <w:pPr>
        <w:pStyle w:val="Kop2"/>
        <w:jc w:val="both"/>
      </w:pPr>
      <w:bookmarkStart w:id="4" w:name="_Toc168738309"/>
      <w:r>
        <w:lastRenderedPageBreak/>
        <w:t>Achtergrondinformatie en algemene suggesties</w:t>
      </w:r>
      <w:bookmarkEnd w:id="4"/>
    </w:p>
    <w:p w14:paraId="38C86C8F" w14:textId="77777777" w:rsidR="00A56138" w:rsidRDefault="00A56138" w:rsidP="00A56138">
      <w:pPr>
        <w:pStyle w:val="Lijstalinea"/>
        <w:numPr>
          <w:ilvl w:val="0"/>
          <w:numId w:val="1"/>
        </w:numPr>
        <w:jc w:val="both"/>
      </w:pPr>
      <w:r w:rsidRPr="112FD415">
        <w:rPr>
          <w:rFonts w:eastAsia="Verdana" w:cs="Verdana"/>
        </w:rPr>
        <w:t xml:space="preserve">Leerlingen kunnen zich meer bewust worden van de gevolgen van hun consumentengedrag door de ecologische voetafdruk in te vullen: </w:t>
      </w:r>
      <w:hyperlink r:id="rId8">
        <w:r w:rsidRPr="112FD415">
          <w:rPr>
            <w:rStyle w:val="Hyperlink"/>
          </w:rPr>
          <w:t>Voetafdruktest WWF | Test jouw voetafdruk en krijg duurzame tips</w:t>
        </w:r>
      </w:hyperlink>
      <w:r>
        <w:t>.</w:t>
      </w:r>
    </w:p>
    <w:p w14:paraId="7BF9692F" w14:textId="77777777" w:rsidR="00A56138" w:rsidRDefault="00A56138" w:rsidP="00A56138">
      <w:pPr>
        <w:pStyle w:val="Lijstalinea"/>
        <w:numPr>
          <w:ilvl w:val="0"/>
          <w:numId w:val="1"/>
        </w:numPr>
        <w:jc w:val="both"/>
      </w:pPr>
    </w:p>
    <w:p w14:paraId="2A453BF8" w14:textId="77777777" w:rsidR="00A56138" w:rsidRDefault="00A56138" w:rsidP="00A56138">
      <w:pPr>
        <w:jc w:val="both"/>
      </w:pPr>
    </w:p>
    <w:p w14:paraId="3D1A515E" w14:textId="77777777" w:rsidR="00A56138" w:rsidRDefault="00A56138" w:rsidP="00A56138">
      <w:pPr>
        <w:jc w:val="both"/>
      </w:pPr>
      <w:r w:rsidRPr="00A566A8">
        <w:rPr>
          <w:b/>
          <w:bCs/>
        </w:rPr>
        <w:t>Filmpjes</w:t>
      </w:r>
    </w:p>
    <w:p w14:paraId="35B0466F" w14:textId="77777777" w:rsidR="00A56138" w:rsidRDefault="00A56138" w:rsidP="00A56138">
      <w:pPr>
        <w:jc w:val="both"/>
      </w:pPr>
    </w:p>
    <w:p w14:paraId="468AEE82" w14:textId="77777777" w:rsidR="00A56138" w:rsidRPr="00920468" w:rsidRDefault="00A56138" w:rsidP="00A56138">
      <w:pPr>
        <w:jc w:val="both"/>
      </w:pPr>
      <w:hyperlink r:id="rId9" w:history="1">
        <w:r>
          <w:rPr>
            <w:rStyle w:val="Hyperlink"/>
          </w:rPr>
          <w:t>Dit moet je weten over eten niet opeten (nos.nl)</w:t>
        </w:r>
      </w:hyperlink>
    </w:p>
    <w:p w14:paraId="5AECD76D" w14:textId="77777777" w:rsidR="00A56138" w:rsidRPr="00920468" w:rsidRDefault="00A56138" w:rsidP="00A56138">
      <w:pPr>
        <w:jc w:val="both"/>
      </w:pPr>
    </w:p>
    <w:p w14:paraId="4B116782" w14:textId="77777777" w:rsidR="00A56138" w:rsidRDefault="00A56138" w:rsidP="00A56138">
      <w:pPr>
        <w:jc w:val="both"/>
        <w:rPr>
          <w:b/>
          <w:bCs/>
        </w:rPr>
      </w:pPr>
      <w:r>
        <w:rPr>
          <w:b/>
          <w:bCs/>
        </w:rPr>
        <w:t>Websites</w:t>
      </w:r>
    </w:p>
    <w:p w14:paraId="75BCCA2E" w14:textId="77777777" w:rsidR="00A56138" w:rsidRDefault="00A56138" w:rsidP="00A56138">
      <w:pPr>
        <w:jc w:val="both"/>
        <w:rPr>
          <w:b/>
          <w:bCs/>
        </w:rPr>
      </w:pPr>
    </w:p>
    <w:p w14:paraId="66A52C63" w14:textId="77777777" w:rsidR="00A56138" w:rsidRPr="00920468" w:rsidRDefault="00A56138" w:rsidP="00A56138">
      <w:pPr>
        <w:jc w:val="both"/>
      </w:pPr>
      <w:r w:rsidRPr="00A566A8">
        <w:rPr>
          <w:b/>
          <w:bCs/>
        </w:rPr>
        <w:t>Boeken</w:t>
      </w:r>
    </w:p>
    <w:p w14:paraId="7A8020A6"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913C3"/>
    <w:multiLevelType w:val="hybridMultilevel"/>
    <w:tmpl w:val="6106A164"/>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811C238"/>
    <w:multiLevelType w:val="hybridMultilevel"/>
    <w:tmpl w:val="FFFFFFFF"/>
    <w:lvl w:ilvl="0" w:tplc="9FC0108E">
      <w:start w:val="1"/>
      <w:numFmt w:val="bullet"/>
      <w:lvlText w:val="-"/>
      <w:lvlJc w:val="left"/>
      <w:pPr>
        <w:ind w:left="720" w:hanging="360"/>
      </w:pPr>
      <w:rPr>
        <w:rFonts w:ascii="Calibri" w:hAnsi="Calibri" w:hint="default"/>
      </w:rPr>
    </w:lvl>
    <w:lvl w:ilvl="1" w:tplc="960A95A2">
      <w:start w:val="1"/>
      <w:numFmt w:val="bullet"/>
      <w:lvlText w:val="o"/>
      <w:lvlJc w:val="left"/>
      <w:pPr>
        <w:ind w:left="1440" w:hanging="360"/>
      </w:pPr>
      <w:rPr>
        <w:rFonts w:ascii="Courier New" w:hAnsi="Courier New" w:hint="default"/>
      </w:rPr>
    </w:lvl>
    <w:lvl w:ilvl="2" w:tplc="04FA3B9E">
      <w:start w:val="1"/>
      <w:numFmt w:val="bullet"/>
      <w:lvlText w:val=""/>
      <w:lvlJc w:val="left"/>
      <w:pPr>
        <w:ind w:left="2160" w:hanging="360"/>
      </w:pPr>
      <w:rPr>
        <w:rFonts w:ascii="Wingdings" w:hAnsi="Wingdings" w:hint="default"/>
      </w:rPr>
    </w:lvl>
    <w:lvl w:ilvl="3" w:tplc="7406AA5A">
      <w:start w:val="1"/>
      <w:numFmt w:val="bullet"/>
      <w:lvlText w:val=""/>
      <w:lvlJc w:val="left"/>
      <w:pPr>
        <w:ind w:left="2880" w:hanging="360"/>
      </w:pPr>
      <w:rPr>
        <w:rFonts w:ascii="Symbol" w:hAnsi="Symbol" w:hint="default"/>
      </w:rPr>
    </w:lvl>
    <w:lvl w:ilvl="4" w:tplc="BD5849F2">
      <w:start w:val="1"/>
      <w:numFmt w:val="bullet"/>
      <w:lvlText w:val="o"/>
      <w:lvlJc w:val="left"/>
      <w:pPr>
        <w:ind w:left="3600" w:hanging="360"/>
      </w:pPr>
      <w:rPr>
        <w:rFonts w:ascii="Courier New" w:hAnsi="Courier New" w:hint="default"/>
      </w:rPr>
    </w:lvl>
    <w:lvl w:ilvl="5" w:tplc="2138ED2E">
      <w:start w:val="1"/>
      <w:numFmt w:val="bullet"/>
      <w:lvlText w:val=""/>
      <w:lvlJc w:val="left"/>
      <w:pPr>
        <w:ind w:left="4320" w:hanging="360"/>
      </w:pPr>
      <w:rPr>
        <w:rFonts w:ascii="Wingdings" w:hAnsi="Wingdings" w:hint="default"/>
      </w:rPr>
    </w:lvl>
    <w:lvl w:ilvl="6" w:tplc="BC1AE23C">
      <w:start w:val="1"/>
      <w:numFmt w:val="bullet"/>
      <w:lvlText w:val=""/>
      <w:lvlJc w:val="left"/>
      <w:pPr>
        <w:ind w:left="5040" w:hanging="360"/>
      </w:pPr>
      <w:rPr>
        <w:rFonts w:ascii="Symbol" w:hAnsi="Symbol" w:hint="default"/>
      </w:rPr>
    </w:lvl>
    <w:lvl w:ilvl="7" w:tplc="A36C0864">
      <w:start w:val="1"/>
      <w:numFmt w:val="bullet"/>
      <w:lvlText w:val="o"/>
      <w:lvlJc w:val="left"/>
      <w:pPr>
        <w:ind w:left="5760" w:hanging="360"/>
      </w:pPr>
      <w:rPr>
        <w:rFonts w:ascii="Courier New" w:hAnsi="Courier New" w:hint="default"/>
      </w:rPr>
    </w:lvl>
    <w:lvl w:ilvl="8" w:tplc="210E839E">
      <w:start w:val="1"/>
      <w:numFmt w:val="bullet"/>
      <w:lvlText w:val=""/>
      <w:lvlJc w:val="left"/>
      <w:pPr>
        <w:ind w:left="6480" w:hanging="360"/>
      </w:pPr>
      <w:rPr>
        <w:rFonts w:ascii="Wingdings" w:hAnsi="Wingdings" w:hint="default"/>
      </w:rPr>
    </w:lvl>
  </w:abstractNum>
  <w:abstractNum w:abstractNumId="2" w15:restartNumberingAfterBreak="0">
    <w:nsid w:val="608652D5"/>
    <w:multiLevelType w:val="hybridMultilevel"/>
    <w:tmpl w:val="69E0469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2514471">
    <w:abstractNumId w:val="1"/>
  </w:num>
  <w:num w:numId="2" w16cid:durableId="2021270325">
    <w:abstractNumId w:val="2"/>
  </w:num>
  <w:num w:numId="3" w16cid:durableId="161146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138"/>
    <w:rsid w:val="00163B1B"/>
    <w:rsid w:val="0073174A"/>
    <w:rsid w:val="008D77C8"/>
    <w:rsid w:val="009E240C"/>
    <w:rsid w:val="00A56138"/>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BF87"/>
  <w15:chartTrackingRefBased/>
  <w15:docId w15:val="{AB6E4625-C989-4966-8AA6-E687ABCE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138"/>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A56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56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61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61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61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613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13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13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13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1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561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61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61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61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61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1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1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138"/>
    <w:rPr>
      <w:rFonts w:eastAsiaTheme="majorEastAsia" w:cstheme="majorBidi"/>
      <w:color w:val="272727" w:themeColor="text1" w:themeTint="D8"/>
    </w:rPr>
  </w:style>
  <w:style w:type="paragraph" w:styleId="Titel">
    <w:name w:val="Title"/>
    <w:basedOn w:val="Standaard"/>
    <w:next w:val="Standaard"/>
    <w:link w:val="TitelChar"/>
    <w:uiPriority w:val="10"/>
    <w:qFormat/>
    <w:rsid w:val="00A5613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1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1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1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1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138"/>
    <w:rPr>
      <w:i/>
      <w:iCs/>
      <w:color w:val="404040" w:themeColor="text1" w:themeTint="BF"/>
    </w:rPr>
  </w:style>
  <w:style w:type="paragraph" w:styleId="Lijstalinea">
    <w:name w:val="List Paragraph"/>
    <w:basedOn w:val="Standaard"/>
    <w:uiPriority w:val="34"/>
    <w:qFormat/>
    <w:rsid w:val="00A56138"/>
    <w:pPr>
      <w:ind w:left="720"/>
      <w:contextualSpacing/>
    </w:pPr>
  </w:style>
  <w:style w:type="character" w:styleId="Intensievebenadrukking">
    <w:name w:val="Intense Emphasis"/>
    <w:basedOn w:val="Standaardalinea-lettertype"/>
    <w:uiPriority w:val="21"/>
    <w:qFormat/>
    <w:rsid w:val="00A56138"/>
    <w:rPr>
      <w:i/>
      <w:iCs/>
      <w:color w:val="0F4761" w:themeColor="accent1" w:themeShade="BF"/>
    </w:rPr>
  </w:style>
  <w:style w:type="paragraph" w:styleId="Duidelijkcitaat">
    <w:name w:val="Intense Quote"/>
    <w:basedOn w:val="Standaard"/>
    <w:next w:val="Standaard"/>
    <w:link w:val="DuidelijkcitaatChar"/>
    <w:uiPriority w:val="30"/>
    <w:qFormat/>
    <w:rsid w:val="00A56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6138"/>
    <w:rPr>
      <w:i/>
      <w:iCs/>
      <w:color w:val="0F4761" w:themeColor="accent1" w:themeShade="BF"/>
    </w:rPr>
  </w:style>
  <w:style w:type="character" w:styleId="Intensieveverwijzing">
    <w:name w:val="Intense Reference"/>
    <w:basedOn w:val="Standaardalinea-lettertype"/>
    <w:uiPriority w:val="32"/>
    <w:qFormat/>
    <w:rsid w:val="00A56138"/>
    <w:rPr>
      <w:b/>
      <w:bCs/>
      <w:smallCaps/>
      <w:color w:val="0F4761" w:themeColor="accent1" w:themeShade="BF"/>
      <w:spacing w:val="5"/>
    </w:rPr>
  </w:style>
  <w:style w:type="character" w:styleId="Hyperlink">
    <w:name w:val="Hyperlink"/>
    <w:basedOn w:val="Standaardalinea-lettertype"/>
    <w:uiPriority w:val="99"/>
    <w:unhideWhenUsed/>
    <w:rsid w:val="00A5613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etafdruktest.wwf.nl/?gad=1&amp;gclid=EAIaIQobChMI8KiAgdjM_gIVkJDVCh1TDwYpEAAYASAAEgK4IPD_BwE" TargetMode="External"/><Relationship Id="rId3" Type="http://schemas.openxmlformats.org/officeDocument/2006/relationships/settings" Target="settings.xml"/><Relationship Id="rId7" Type="http://schemas.openxmlformats.org/officeDocument/2006/relationships/hyperlink" Target="https://vilt.be/nl/nieuws/landongelijkheid-wereldwijd-veel-groter-dan-geda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artikel/2498872-onderzoek-wereldwijd-wordt-jaarlijks-vlees-van-18-miljard-dieren-weggegooid" TargetMode="External"/><Relationship Id="rId11" Type="http://schemas.openxmlformats.org/officeDocument/2006/relationships/theme" Target="theme/theme1.xml"/><Relationship Id="rId5" Type="http://schemas.openxmlformats.org/officeDocument/2006/relationships/hyperlink" Target="https://nos.nl/op3/video/2472106-dit-moet-je-weten-over-eten-niet-ope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s.nl/op3/video/2472106-dit-moet-je-weten-over-eten-niet-ope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5987</Characters>
  <Application>Microsoft Office Word</Application>
  <DocSecurity>0</DocSecurity>
  <Lines>49</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2024-06-18T17:31:00Z</dcterms:created>
  <dcterms:modified xsi:type="dcterms:W3CDTF">2024-06-18T17:32:00Z</dcterms:modified>
</cp:coreProperties>
</file>