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A66F0" w14:textId="77777777" w:rsidR="00980F84" w:rsidRPr="00D108F6" w:rsidRDefault="00980F84" w:rsidP="00980F84">
      <w:pPr>
        <w:pStyle w:val="Kop3"/>
        <w:jc w:val="both"/>
      </w:pPr>
      <w:bookmarkStart w:id="0" w:name="_Toc168738330"/>
      <w:r w:rsidRPr="00D108F6">
        <w:t xml:space="preserve">Les </w:t>
      </w:r>
      <w:r>
        <w:t>1 &amp; 2.</w:t>
      </w:r>
      <w:r w:rsidRPr="00D108F6">
        <w:t xml:space="preserve"> Sociale cohesie</w:t>
      </w:r>
      <w:bookmarkEnd w:id="0"/>
    </w:p>
    <w:p w14:paraId="1D3BE253" w14:textId="77777777" w:rsidR="00980F84" w:rsidRPr="001024A2" w:rsidRDefault="00980F84" w:rsidP="00980F84">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602"/>
        <w:gridCol w:w="1529"/>
        <w:gridCol w:w="1626"/>
        <w:gridCol w:w="2519"/>
      </w:tblGrid>
      <w:tr w:rsidR="00980F84" w14:paraId="461586BA" w14:textId="77777777" w:rsidTr="00DC5B35">
        <w:trPr>
          <w:trHeight w:val="300"/>
        </w:trPr>
        <w:tc>
          <w:tcPr>
            <w:tcW w:w="1785" w:type="dxa"/>
            <w:shd w:val="clear" w:color="auto" w:fill="E8E8E8" w:themeFill="background2"/>
          </w:tcPr>
          <w:p w14:paraId="1D665B87" w14:textId="77777777" w:rsidR="00980F84" w:rsidRPr="00A60056" w:rsidRDefault="00980F84" w:rsidP="00DC5B35">
            <w:pPr>
              <w:jc w:val="center"/>
              <w:rPr>
                <w:szCs w:val="20"/>
              </w:rPr>
            </w:pPr>
            <w:r w:rsidRPr="00A60056">
              <w:rPr>
                <w:szCs w:val="20"/>
              </w:rPr>
              <w:t>Aardrijkskunde</w:t>
            </w:r>
          </w:p>
        </w:tc>
        <w:tc>
          <w:tcPr>
            <w:tcW w:w="1603" w:type="dxa"/>
            <w:shd w:val="clear" w:color="auto" w:fill="E8E8E8" w:themeFill="background2"/>
          </w:tcPr>
          <w:p w14:paraId="7AD2078E" w14:textId="77777777" w:rsidR="00980F84" w:rsidRPr="00A60056" w:rsidRDefault="00980F84" w:rsidP="00DC5B35">
            <w:pPr>
              <w:jc w:val="center"/>
              <w:rPr>
                <w:szCs w:val="20"/>
              </w:rPr>
            </w:pPr>
            <w:r w:rsidRPr="00A60056">
              <w:rPr>
                <w:szCs w:val="20"/>
              </w:rPr>
              <w:t>Klas:</w:t>
            </w:r>
          </w:p>
        </w:tc>
        <w:tc>
          <w:tcPr>
            <w:tcW w:w="1530" w:type="dxa"/>
            <w:shd w:val="clear" w:color="auto" w:fill="E8E8E8" w:themeFill="background2"/>
          </w:tcPr>
          <w:p w14:paraId="6678D7A8" w14:textId="77777777" w:rsidR="00980F84" w:rsidRPr="00A60056" w:rsidRDefault="00980F84" w:rsidP="00DC5B35">
            <w:pPr>
              <w:jc w:val="center"/>
              <w:rPr>
                <w:szCs w:val="20"/>
              </w:rPr>
            </w:pPr>
            <w:r w:rsidRPr="00A60056">
              <w:rPr>
                <w:szCs w:val="20"/>
              </w:rPr>
              <w:t>3-4 H/V</w:t>
            </w:r>
          </w:p>
        </w:tc>
        <w:tc>
          <w:tcPr>
            <w:tcW w:w="1627" w:type="dxa"/>
            <w:shd w:val="clear" w:color="auto" w:fill="E8E8E8" w:themeFill="background2"/>
          </w:tcPr>
          <w:p w14:paraId="44F638A6" w14:textId="77777777" w:rsidR="00980F84" w:rsidRPr="00A60056" w:rsidRDefault="00980F84" w:rsidP="00DC5B35">
            <w:pPr>
              <w:jc w:val="center"/>
              <w:rPr>
                <w:szCs w:val="20"/>
              </w:rPr>
            </w:pPr>
            <w:r w:rsidRPr="00A60056">
              <w:rPr>
                <w:szCs w:val="20"/>
              </w:rPr>
              <w:t>Aantal lessen:</w:t>
            </w:r>
          </w:p>
        </w:tc>
        <w:tc>
          <w:tcPr>
            <w:tcW w:w="2522" w:type="dxa"/>
            <w:shd w:val="clear" w:color="auto" w:fill="E8E8E8" w:themeFill="background2"/>
          </w:tcPr>
          <w:p w14:paraId="34E8125F" w14:textId="77777777" w:rsidR="00980F84" w:rsidRPr="00A60056" w:rsidRDefault="00980F84" w:rsidP="00DC5B35">
            <w:pPr>
              <w:jc w:val="center"/>
              <w:rPr>
                <w:szCs w:val="20"/>
              </w:rPr>
            </w:pPr>
            <w:r w:rsidRPr="00A60056">
              <w:rPr>
                <w:szCs w:val="20"/>
              </w:rPr>
              <w:t>2</w:t>
            </w:r>
          </w:p>
        </w:tc>
      </w:tr>
      <w:tr w:rsidR="00980F84" w14:paraId="141A8804" w14:textId="77777777" w:rsidTr="00DC5B35">
        <w:trPr>
          <w:trHeight w:val="644"/>
        </w:trPr>
        <w:tc>
          <w:tcPr>
            <w:tcW w:w="9067" w:type="dxa"/>
            <w:gridSpan w:val="5"/>
          </w:tcPr>
          <w:p w14:paraId="42DE5A99" w14:textId="77777777" w:rsidR="00980F84" w:rsidRPr="00A60056" w:rsidRDefault="00980F84" w:rsidP="00DC5B35">
            <w:pPr>
              <w:jc w:val="both"/>
              <w:rPr>
                <w:color w:val="000000" w:themeColor="text1"/>
                <w:szCs w:val="20"/>
              </w:rPr>
            </w:pPr>
            <w:r w:rsidRPr="00A60056">
              <w:rPr>
                <w:color w:val="000000" w:themeColor="text1"/>
                <w:szCs w:val="20"/>
                <w:u w:val="single"/>
              </w:rPr>
              <w:t>Omschrijving</w:t>
            </w:r>
          </w:p>
          <w:p w14:paraId="67466EEE" w14:textId="77777777" w:rsidR="00980F84" w:rsidRPr="00A60056" w:rsidRDefault="00980F84" w:rsidP="00DC5B35">
            <w:pPr>
              <w:jc w:val="both"/>
              <w:rPr>
                <w:color w:val="000000" w:themeColor="text1"/>
              </w:rPr>
            </w:pPr>
            <w:r w:rsidRPr="47616046">
              <w:rPr>
                <w:color w:val="000000" w:themeColor="text1"/>
              </w:rPr>
              <w:t>Sociale cohesie is een veelomvattende term in de aardrijkskunde. Het gaat vooral over relaties tussen (groepen) mensen. Dat heeft dan ook veel te maken met burgerschap, maar bijvoorbeeld ook met nationalisme. Het gevoel ergens bij te horen zorgt voor betrokkenheid op de mensen die bij die groep horen. Vaak heeft dat ook tot gevolg dat je je af gaat zetten tegen degene die niet bij jouw groep horen. Dat kan op een onschuldige en niet vijandige manier, maar ook op een wrede en gewelddadige manier.</w:t>
            </w:r>
          </w:p>
        </w:tc>
      </w:tr>
      <w:tr w:rsidR="00980F84" w14:paraId="6A7745F0" w14:textId="77777777" w:rsidTr="00DC5B35">
        <w:trPr>
          <w:trHeight w:val="699"/>
        </w:trPr>
        <w:tc>
          <w:tcPr>
            <w:tcW w:w="9067" w:type="dxa"/>
            <w:gridSpan w:val="5"/>
          </w:tcPr>
          <w:p w14:paraId="58E0B5FA" w14:textId="77777777" w:rsidR="00980F84" w:rsidRPr="005A1AC3" w:rsidRDefault="00980F84" w:rsidP="00DC5B35">
            <w:pPr>
              <w:rPr>
                <w:u w:val="single"/>
              </w:rPr>
            </w:pPr>
            <w:r w:rsidRPr="47616046">
              <w:rPr>
                <w:u w:val="single"/>
              </w:rPr>
              <w:t>Doelen</w:t>
            </w:r>
          </w:p>
          <w:p w14:paraId="3FB21E53" w14:textId="77777777" w:rsidR="00980F84" w:rsidRPr="005A1AC3" w:rsidRDefault="00980F84" w:rsidP="00980F84">
            <w:pPr>
              <w:pStyle w:val="Lijstalinea"/>
              <w:numPr>
                <w:ilvl w:val="0"/>
                <w:numId w:val="2"/>
              </w:numPr>
              <w:rPr>
                <w:szCs w:val="20"/>
              </w:rPr>
            </w:pPr>
            <w:r w:rsidRPr="005A1AC3">
              <w:rPr>
                <w:rFonts w:eastAsia="Calibri" w:cs="Calibri"/>
                <w:szCs w:val="20"/>
              </w:rPr>
              <w:t>De leerling kan het begrip sociale cohesie uitleggen</w:t>
            </w:r>
          </w:p>
          <w:p w14:paraId="2F421C36" w14:textId="77777777" w:rsidR="00980F84" w:rsidRPr="005A1AC3" w:rsidRDefault="00980F84" w:rsidP="00980F84">
            <w:pPr>
              <w:pStyle w:val="Lijstalinea"/>
              <w:numPr>
                <w:ilvl w:val="0"/>
                <w:numId w:val="2"/>
              </w:numPr>
              <w:rPr>
                <w:szCs w:val="20"/>
              </w:rPr>
            </w:pPr>
            <w:r w:rsidRPr="005A1AC3">
              <w:rPr>
                <w:rFonts w:eastAsia="Calibri" w:cs="Calibri"/>
                <w:szCs w:val="20"/>
              </w:rPr>
              <w:t>De leerling kan het belang van sociale cohesie voor hemzelf en voor anderen uitleggen</w:t>
            </w:r>
          </w:p>
          <w:p w14:paraId="16411717" w14:textId="77777777" w:rsidR="00980F84" w:rsidRPr="005A1AC3" w:rsidRDefault="00980F84" w:rsidP="00980F84">
            <w:pPr>
              <w:pStyle w:val="Lijstalinea"/>
              <w:numPr>
                <w:ilvl w:val="0"/>
                <w:numId w:val="2"/>
              </w:numPr>
              <w:rPr>
                <w:szCs w:val="20"/>
              </w:rPr>
            </w:pPr>
            <w:r w:rsidRPr="005A1AC3">
              <w:rPr>
                <w:rFonts w:eastAsia="Calibri" w:cs="Calibri"/>
                <w:szCs w:val="20"/>
              </w:rPr>
              <w:t>De leerling is in staat personen/groepen mensen te noemen die er voor zijn gevoel niet bij horen en kan ook uitleggen waarom hij/zij dat vindt</w:t>
            </w:r>
          </w:p>
          <w:p w14:paraId="5A1F8E2B" w14:textId="77777777" w:rsidR="00980F84" w:rsidRPr="005A1AC3" w:rsidRDefault="00980F84" w:rsidP="00DC5B35">
            <w:pPr>
              <w:rPr>
                <w:szCs w:val="20"/>
              </w:rPr>
            </w:pPr>
          </w:p>
          <w:p w14:paraId="079DE609" w14:textId="77777777" w:rsidR="00980F84" w:rsidRPr="005A1AC3" w:rsidRDefault="00980F84" w:rsidP="00DC5B35">
            <w:pPr>
              <w:rPr>
                <w:szCs w:val="20"/>
                <w:u w:val="single"/>
              </w:rPr>
            </w:pPr>
            <w:r w:rsidRPr="005A1AC3">
              <w:rPr>
                <w:szCs w:val="20"/>
                <w:u w:val="single"/>
              </w:rPr>
              <w:t>Inhoud en verloop</w:t>
            </w:r>
          </w:p>
          <w:p w14:paraId="4F8E95A6" w14:textId="77777777" w:rsidR="00980F84" w:rsidRDefault="00980F84" w:rsidP="00DC5B35">
            <w:pPr>
              <w:rPr>
                <w:rFonts w:eastAsia="Calibri" w:cs="Calibri"/>
                <w:szCs w:val="20"/>
              </w:rPr>
            </w:pPr>
          </w:p>
          <w:p w14:paraId="2C0FEBDB" w14:textId="77777777" w:rsidR="00980F84" w:rsidRPr="002708AA" w:rsidRDefault="00980F84" w:rsidP="00DC5B35">
            <w:pPr>
              <w:rPr>
                <w:rFonts w:eastAsia="Calibri" w:cs="Calibri"/>
                <w:b/>
                <w:bCs/>
                <w:szCs w:val="20"/>
              </w:rPr>
            </w:pPr>
            <w:r w:rsidRPr="002708AA">
              <w:rPr>
                <w:rFonts w:eastAsia="Calibri" w:cs="Calibri"/>
                <w:b/>
                <w:bCs/>
                <w:szCs w:val="20"/>
              </w:rPr>
              <w:t>Les 1</w:t>
            </w:r>
          </w:p>
          <w:p w14:paraId="79D7EF45" w14:textId="77777777" w:rsidR="00980F84" w:rsidRPr="005A1AC3" w:rsidRDefault="00980F84" w:rsidP="00DC5B35">
            <w:pPr>
              <w:rPr>
                <w:szCs w:val="20"/>
              </w:rPr>
            </w:pPr>
            <w:r w:rsidRPr="005A1AC3">
              <w:rPr>
                <w:rFonts w:eastAsia="Calibri" w:cs="Calibri"/>
                <w:szCs w:val="20"/>
              </w:rPr>
              <w:t>A</w:t>
            </w:r>
            <w:r w:rsidRPr="00A60056">
              <w:rPr>
                <w:rFonts w:eastAsia="Calibri" w:cs="Calibri"/>
                <w:szCs w:val="20"/>
              </w:rPr>
              <w:t xml:space="preserve">. Laat de </w:t>
            </w:r>
            <w:r w:rsidRPr="005A1AC3">
              <w:rPr>
                <w:rFonts w:eastAsia="Calibri" w:cs="Calibri"/>
                <w:szCs w:val="20"/>
              </w:rPr>
              <w:t xml:space="preserve">video zien van de </w:t>
            </w:r>
            <w:hyperlink r:id="rId5" w:anchor=":~:text=Met%20het%20woord%20sociale%20cohesie,een%20schoolklas%20of%20de%20sportvereniging.">
              <w:r w:rsidRPr="005A1AC3">
                <w:rPr>
                  <w:rStyle w:val="Hyperlink"/>
                  <w:rFonts w:eastAsia="Calibri" w:cs="Calibri"/>
                  <w:color w:val="0000FF"/>
                  <w:szCs w:val="20"/>
                </w:rPr>
                <w:t xml:space="preserve">Sociale cohesie - Mr. </w:t>
              </w:r>
              <w:proofErr w:type="spellStart"/>
              <w:r w:rsidRPr="005A1AC3">
                <w:rPr>
                  <w:rStyle w:val="Hyperlink"/>
                  <w:rFonts w:eastAsia="Calibri" w:cs="Calibri"/>
                  <w:color w:val="0000FF"/>
                  <w:szCs w:val="20"/>
                </w:rPr>
                <w:t>Chadd</w:t>
              </w:r>
              <w:proofErr w:type="spellEnd"/>
              <w:r w:rsidRPr="005A1AC3">
                <w:rPr>
                  <w:rStyle w:val="Hyperlink"/>
                  <w:rFonts w:eastAsia="Calibri" w:cs="Calibri"/>
                  <w:color w:val="0000FF"/>
                  <w:szCs w:val="20"/>
                </w:rPr>
                <w:t xml:space="preserve"> Academy (mrchadd.nl)</w:t>
              </w:r>
            </w:hyperlink>
          </w:p>
          <w:p w14:paraId="6C032B8A" w14:textId="77777777" w:rsidR="00980F84" w:rsidRPr="005A1AC3" w:rsidRDefault="00980F84" w:rsidP="00DC5B35">
            <w:pPr>
              <w:rPr>
                <w:szCs w:val="20"/>
                <w:u w:val="single"/>
              </w:rPr>
            </w:pPr>
          </w:p>
          <w:p w14:paraId="50AA488A" w14:textId="77777777" w:rsidR="00980F84" w:rsidRPr="00A60056" w:rsidRDefault="00980F84" w:rsidP="00DC5B35">
            <w:pPr>
              <w:rPr>
                <w:rFonts w:eastAsia="Calibri" w:cs="Calibri"/>
              </w:rPr>
            </w:pPr>
            <w:r w:rsidRPr="47616046">
              <w:rPr>
                <w:rFonts w:eastAsia="Calibri" w:cs="Calibri"/>
              </w:rPr>
              <w:t>B. De leerling kiest één van de vier onderstaande thema’s:</w:t>
            </w:r>
          </w:p>
          <w:p w14:paraId="2FADB644" w14:textId="77777777" w:rsidR="00980F84" w:rsidRPr="005A1AC3" w:rsidRDefault="00980F84" w:rsidP="00980F84">
            <w:pPr>
              <w:pStyle w:val="Lijstalinea"/>
              <w:numPr>
                <w:ilvl w:val="0"/>
                <w:numId w:val="3"/>
              </w:numPr>
              <w:rPr>
                <w:szCs w:val="20"/>
              </w:rPr>
            </w:pPr>
            <w:r w:rsidRPr="005A1AC3">
              <w:rPr>
                <w:rFonts w:eastAsia="Calibri" w:cs="Calibri"/>
                <w:szCs w:val="20"/>
              </w:rPr>
              <w:t>Broedervolken in het Midden-Oosten of in ieder geval verre familie, maar ook ‘alleen wonen’ van het volk Israël</w:t>
            </w:r>
          </w:p>
          <w:p w14:paraId="36362A44" w14:textId="77777777" w:rsidR="00980F84" w:rsidRPr="005A1AC3" w:rsidRDefault="00980F84" w:rsidP="00980F84">
            <w:pPr>
              <w:pStyle w:val="Lijstalinea"/>
              <w:numPr>
                <w:ilvl w:val="0"/>
                <w:numId w:val="3"/>
              </w:numPr>
              <w:rPr>
                <w:szCs w:val="20"/>
              </w:rPr>
            </w:pPr>
            <w:r w:rsidRPr="005A1AC3">
              <w:rPr>
                <w:rFonts w:eastAsia="Calibri" w:cs="Calibri"/>
                <w:szCs w:val="20"/>
              </w:rPr>
              <w:t>Bijbelse voorbeelden van omgaan met de vreemdeling, maar ook Kain en Abel en ook de barmhartige Samaritaan. (</w:t>
            </w:r>
            <w:r>
              <w:rPr>
                <w:rFonts w:eastAsia="Calibri" w:cs="Calibri"/>
                <w:szCs w:val="20"/>
              </w:rPr>
              <w:t>E</w:t>
            </w:r>
            <w:r w:rsidRPr="005A1AC3">
              <w:rPr>
                <w:rFonts w:eastAsia="Calibri" w:cs="Calibri"/>
                <w:szCs w:val="20"/>
              </w:rPr>
              <w:t xml:space="preserve">xodus 23:9, </w:t>
            </w:r>
            <w:r>
              <w:rPr>
                <w:rFonts w:eastAsia="Calibri" w:cs="Calibri"/>
                <w:szCs w:val="20"/>
              </w:rPr>
              <w:t>L</w:t>
            </w:r>
            <w:r w:rsidRPr="005A1AC3">
              <w:rPr>
                <w:rFonts w:eastAsia="Calibri" w:cs="Calibri"/>
                <w:szCs w:val="20"/>
              </w:rPr>
              <w:t>ev</w:t>
            </w:r>
            <w:r>
              <w:rPr>
                <w:rFonts w:eastAsia="Calibri" w:cs="Calibri"/>
                <w:szCs w:val="20"/>
              </w:rPr>
              <w:t>iticus</w:t>
            </w:r>
            <w:r w:rsidRPr="005A1AC3">
              <w:rPr>
                <w:rFonts w:eastAsia="Calibri" w:cs="Calibri"/>
                <w:szCs w:val="20"/>
              </w:rPr>
              <w:t xml:space="preserve"> 19</w:t>
            </w:r>
            <w:r>
              <w:rPr>
                <w:rFonts w:eastAsia="Calibri" w:cs="Calibri"/>
                <w:szCs w:val="20"/>
              </w:rPr>
              <w:t>:</w:t>
            </w:r>
            <w:r w:rsidRPr="005A1AC3">
              <w:rPr>
                <w:rFonts w:eastAsia="Calibri" w:cs="Calibri"/>
                <w:szCs w:val="20"/>
              </w:rPr>
              <w:t xml:space="preserve">34, </w:t>
            </w:r>
            <w:r>
              <w:rPr>
                <w:rFonts w:eastAsia="Calibri" w:cs="Calibri"/>
                <w:szCs w:val="20"/>
              </w:rPr>
              <w:t>D</w:t>
            </w:r>
            <w:r w:rsidRPr="005A1AC3">
              <w:rPr>
                <w:rFonts w:eastAsia="Calibri" w:cs="Calibri"/>
                <w:szCs w:val="20"/>
              </w:rPr>
              <w:t>eut</w:t>
            </w:r>
            <w:r>
              <w:rPr>
                <w:rFonts w:eastAsia="Calibri" w:cs="Calibri"/>
                <w:szCs w:val="20"/>
              </w:rPr>
              <w:t>eronomium</w:t>
            </w:r>
            <w:r w:rsidRPr="005A1AC3">
              <w:rPr>
                <w:rFonts w:eastAsia="Calibri" w:cs="Calibri"/>
                <w:szCs w:val="20"/>
              </w:rPr>
              <w:t xml:space="preserve"> 10)</w:t>
            </w:r>
            <w:r>
              <w:rPr>
                <w:rFonts w:eastAsia="Calibri" w:cs="Calibri"/>
                <w:szCs w:val="20"/>
              </w:rPr>
              <w:t>.</w:t>
            </w:r>
          </w:p>
          <w:p w14:paraId="57004B31" w14:textId="77777777" w:rsidR="00980F84" w:rsidRPr="005A1AC3" w:rsidRDefault="00980F84" w:rsidP="00980F84">
            <w:pPr>
              <w:pStyle w:val="Lijstalinea"/>
              <w:numPr>
                <w:ilvl w:val="0"/>
                <w:numId w:val="3"/>
              </w:numPr>
              <w:rPr>
                <w:szCs w:val="20"/>
              </w:rPr>
            </w:pPr>
            <w:r w:rsidRPr="005A1AC3">
              <w:rPr>
                <w:rFonts w:eastAsia="Calibri" w:cs="Calibri"/>
                <w:szCs w:val="20"/>
              </w:rPr>
              <w:t>Pestgedrag op school.</w:t>
            </w:r>
          </w:p>
          <w:p w14:paraId="4151847F" w14:textId="77777777" w:rsidR="00980F84" w:rsidRPr="005A1AC3" w:rsidRDefault="00980F84" w:rsidP="00980F84">
            <w:pPr>
              <w:pStyle w:val="Lijstalinea"/>
              <w:numPr>
                <w:ilvl w:val="0"/>
                <w:numId w:val="3"/>
              </w:numPr>
              <w:rPr>
                <w:rFonts w:eastAsia="Calibri" w:cs="Calibri"/>
              </w:rPr>
            </w:pPr>
            <w:r w:rsidRPr="47616046">
              <w:rPr>
                <w:rFonts w:eastAsia="Calibri" w:cs="Calibri"/>
              </w:rPr>
              <w:t>Je reactie op zwervers of bezoekers van de voedselbank. (</w:t>
            </w:r>
            <w:hyperlink r:id="rId6">
              <w:r w:rsidRPr="47616046">
                <w:rPr>
                  <w:rStyle w:val="Hyperlink"/>
                </w:rPr>
                <w:t>Geef daklozen geen geld maar behandel ze als mens, zegt deze ex-dakloze (nos.nl)</w:t>
              </w:r>
            </w:hyperlink>
            <w:r w:rsidRPr="47616046">
              <w:t xml:space="preserve"> </w:t>
            </w:r>
            <w:r w:rsidRPr="47616046">
              <w:rPr>
                <w:rFonts w:eastAsia="Calibri" w:cs="Calibri"/>
              </w:rPr>
              <w:t>)</w:t>
            </w:r>
          </w:p>
          <w:p w14:paraId="6F54D2FA" w14:textId="77777777" w:rsidR="00980F84" w:rsidRPr="005A1AC3" w:rsidRDefault="00980F84" w:rsidP="00DC5B35">
            <w:pPr>
              <w:rPr>
                <w:rFonts w:eastAsia="Calibri" w:cs="Calibri"/>
                <w:szCs w:val="20"/>
              </w:rPr>
            </w:pPr>
          </w:p>
          <w:p w14:paraId="242EAEAB" w14:textId="77777777" w:rsidR="00980F84" w:rsidRPr="005A1AC3" w:rsidRDefault="00980F84" w:rsidP="00DC5B35">
            <w:pPr>
              <w:rPr>
                <w:szCs w:val="20"/>
              </w:rPr>
            </w:pPr>
            <w:r w:rsidRPr="005A1AC3">
              <w:rPr>
                <w:rFonts w:eastAsia="Calibri" w:cs="Calibri"/>
                <w:szCs w:val="20"/>
              </w:rPr>
              <w:t>C</w:t>
            </w:r>
            <w:r w:rsidRPr="00A60056">
              <w:rPr>
                <w:rFonts w:eastAsia="Calibri" w:cs="Calibri"/>
                <w:szCs w:val="20"/>
              </w:rPr>
              <w:t>. Wat</w:t>
            </w:r>
            <w:r w:rsidRPr="005A1AC3">
              <w:rPr>
                <w:rFonts w:eastAsia="Calibri" w:cs="Calibri"/>
                <w:szCs w:val="20"/>
              </w:rPr>
              <w:t xml:space="preserve"> speelt er op dit moment rond het thema wat je hebt gekozen</w:t>
            </w:r>
            <w:r w:rsidRPr="00A60056">
              <w:rPr>
                <w:rFonts w:eastAsia="Calibri" w:cs="Calibri"/>
                <w:szCs w:val="20"/>
              </w:rPr>
              <w:t>? Zoek</w:t>
            </w:r>
            <w:r w:rsidRPr="005A1AC3">
              <w:rPr>
                <w:rFonts w:eastAsia="Calibri" w:cs="Calibri"/>
                <w:szCs w:val="20"/>
              </w:rPr>
              <w:t xml:space="preserve"> passende voorbeelden</w:t>
            </w:r>
            <w:r>
              <w:rPr>
                <w:rFonts w:eastAsia="Calibri" w:cs="Calibri"/>
                <w:szCs w:val="20"/>
              </w:rPr>
              <w:t xml:space="preserve"> en denk bijvoorbeeld aan v</w:t>
            </w:r>
            <w:r w:rsidRPr="005A1AC3">
              <w:rPr>
                <w:rFonts w:eastAsia="Calibri" w:cs="Calibri"/>
                <w:szCs w:val="20"/>
              </w:rPr>
              <w:t>ijandsbeelden (</w:t>
            </w:r>
            <w:r>
              <w:rPr>
                <w:rFonts w:eastAsia="Calibri" w:cs="Calibri"/>
                <w:szCs w:val="20"/>
              </w:rPr>
              <w:t xml:space="preserve">bij </w:t>
            </w:r>
            <w:r w:rsidRPr="005A1AC3">
              <w:rPr>
                <w:rFonts w:eastAsia="Calibri" w:cs="Calibri"/>
                <w:szCs w:val="20"/>
              </w:rPr>
              <w:t>pestgedrag</w:t>
            </w:r>
            <w:r>
              <w:rPr>
                <w:rFonts w:eastAsia="Calibri" w:cs="Calibri"/>
                <w:szCs w:val="20"/>
              </w:rPr>
              <w:t>,</w:t>
            </w:r>
            <w:r w:rsidRPr="005A1AC3">
              <w:rPr>
                <w:rFonts w:eastAsia="Calibri" w:cs="Calibri"/>
                <w:szCs w:val="20"/>
              </w:rPr>
              <w:t xml:space="preserve"> oorlog</w:t>
            </w:r>
            <w:r>
              <w:rPr>
                <w:rFonts w:eastAsia="Calibri" w:cs="Calibri"/>
                <w:szCs w:val="20"/>
              </w:rPr>
              <w:t>,</w:t>
            </w:r>
            <w:r w:rsidRPr="005A1AC3">
              <w:rPr>
                <w:rFonts w:eastAsia="Calibri" w:cs="Calibri"/>
                <w:szCs w:val="20"/>
              </w:rPr>
              <w:t xml:space="preserve"> buitenlanders</w:t>
            </w:r>
            <w:r>
              <w:rPr>
                <w:rFonts w:eastAsia="Calibri" w:cs="Calibri"/>
                <w:szCs w:val="20"/>
              </w:rPr>
              <w:t>,</w:t>
            </w:r>
            <w:r w:rsidRPr="005A1AC3">
              <w:rPr>
                <w:rFonts w:eastAsia="Calibri" w:cs="Calibri"/>
                <w:szCs w:val="20"/>
              </w:rPr>
              <w:t xml:space="preserve"> asielzoekers</w:t>
            </w:r>
            <w:r>
              <w:rPr>
                <w:rFonts w:eastAsia="Calibri" w:cs="Calibri"/>
                <w:szCs w:val="20"/>
              </w:rPr>
              <w:t xml:space="preserve">, </w:t>
            </w:r>
            <w:r w:rsidRPr="005A1AC3">
              <w:rPr>
                <w:rFonts w:eastAsia="Calibri" w:cs="Calibri"/>
                <w:szCs w:val="20"/>
              </w:rPr>
              <w:t>zwervers</w:t>
            </w:r>
            <w:r>
              <w:rPr>
                <w:rFonts w:eastAsia="Calibri" w:cs="Calibri"/>
                <w:szCs w:val="20"/>
              </w:rPr>
              <w:t>)</w:t>
            </w:r>
            <w:r w:rsidRPr="005A1AC3">
              <w:rPr>
                <w:rFonts w:eastAsia="Calibri" w:cs="Calibri"/>
                <w:szCs w:val="20"/>
              </w:rPr>
              <w:t xml:space="preserve">.  </w:t>
            </w:r>
            <w:r>
              <w:rPr>
                <w:rFonts w:eastAsia="Calibri" w:cs="Calibri"/>
                <w:szCs w:val="20"/>
              </w:rPr>
              <w:t>O</w:t>
            </w:r>
            <w:r w:rsidRPr="005A1AC3">
              <w:rPr>
                <w:rFonts w:eastAsia="Calibri" w:cs="Calibri"/>
                <w:szCs w:val="20"/>
              </w:rPr>
              <w:t>nderzoek wat de reden zijn voor insluiting of uitsluiting</w:t>
            </w:r>
          </w:p>
          <w:p w14:paraId="2DEF94B0" w14:textId="77777777" w:rsidR="00980F84" w:rsidRPr="005A1AC3" w:rsidRDefault="00980F84" w:rsidP="00DC5B35">
            <w:pPr>
              <w:rPr>
                <w:szCs w:val="20"/>
              </w:rPr>
            </w:pPr>
          </w:p>
          <w:p w14:paraId="5B27F11D" w14:textId="77777777" w:rsidR="00980F84" w:rsidRPr="005A1AC3" w:rsidRDefault="00980F84" w:rsidP="00DC5B35">
            <w:pPr>
              <w:rPr>
                <w:rFonts w:eastAsiaTheme="minorEastAsia" w:cstheme="minorBidi"/>
                <w:szCs w:val="20"/>
              </w:rPr>
            </w:pPr>
            <w:r w:rsidRPr="005A1AC3">
              <w:rPr>
                <w:rFonts w:eastAsiaTheme="minorEastAsia" w:cstheme="minorBidi"/>
                <w:szCs w:val="20"/>
              </w:rPr>
              <w:t>D</w:t>
            </w:r>
            <w:r w:rsidRPr="00A60056">
              <w:rPr>
                <w:rFonts w:eastAsiaTheme="minorEastAsia" w:cstheme="minorBidi"/>
                <w:szCs w:val="20"/>
              </w:rPr>
              <w:t>. Pas</w:t>
            </w:r>
            <w:r w:rsidRPr="005A1AC3">
              <w:rPr>
                <w:rFonts w:eastAsiaTheme="minorEastAsia" w:cstheme="minorBidi"/>
                <w:szCs w:val="20"/>
              </w:rPr>
              <w:t xml:space="preserve"> de </w:t>
            </w:r>
            <w:r w:rsidRPr="00A60056">
              <w:rPr>
                <w:rFonts w:eastAsiaTheme="minorEastAsia" w:cstheme="minorBidi"/>
                <w:szCs w:val="20"/>
              </w:rPr>
              <w:t xml:space="preserve">volgende </w:t>
            </w:r>
            <w:r w:rsidRPr="005A1AC3">
              <w:rPr>
                <w:rFonts w:eastAsiaTheme="minorEastAsia" w:cstheme="minorBidi"/>
                <w:szCs w:val="20"/>
              </w:rPr>
              <w:t>begrippen uit de video toe</w:t>
            </w:r>
            <w:r w:rsidRPr="00A60056">
              <w:rPr>
                <w:rFonts w:eastAsiaTheme="minorEastAsia" w:cstheme="minorBidi"/>
                <w:szCs w:val="20"/>
              </w:rPr>
              <w:t xml:space="preserve"> op jouw thema</w:t>
            </w:r>
            <w:r w:rsidRPr="005A1AC3">
              <w:rPr>
                <w:rFonts w:eastAsiaTheme="minorEastAsia" w:cstheme="minorBidi"/>
                <w:szCs w:val="20"/>
              </w:rPr>
              <w:t>:</w:t>
            </w:r>
          </w:p>
          <w:p w14:paraId="2659C2D3" w14:textId="77777777" w:rsidR="00980F84" w:rsidRPr="002708AA" w:rsidRDefault="00980F84" w:rsidP="00980F84">
            <w:pPr>
              <w:pStyle w:val="Lijstalinea"/>
              <w:numPr>
                <w:ilvl w:val="0"/>
                <w:numId w:val="1"/>
              </w:numPr>
              <w:rPr>
                <w:rFonts w:eastAsiaTheme="minorEastAsia" w:cstheme="minorBidi"/>
                <w:szCs w:val="20"/>
              </w:rPr>
            </w:pPr>
            <w:r w:rsidRPr="002708AA">
              <w:rPr>
                <w:rFonts w:eastAsiaTheme="minorEastAsia" w:cstheme="minorBidi"/>
                <w:szCs w:val="20"/>
              </w:rPr>
              <w:t>Verbondenheid met een groep</w:t>
            </w:r>
          </w:p>
          <w:p w14:paraId="5C93D199" w14:textId="77777777" w:rsidR="00980F84" w:rsidRPr="002708AA" w:rsidRDefault="00980F84" w:rsidP="00980F84">
            <w:pPr>
              <w:pStyle w:val="Lijstalinea"/>
              <w:numPr>
                <w:ilvl w:val="0"/>
                <w:numId w:val="1"/>
              </w:numPr>
              <w:rPr>
                <w:rFonts w:eastAsiaTheme="minorEastAsia" w:cstheme="minorBidi"/>
                <w:szCs w:val="20"/>
              </w:rPr>
            </w:pPr>
            <w:r w:rsidRPr="002708AA">
              <w:rPr>
                <w:rFonts w:eastAsiaTheme="minorEastAsia" w:cstheme="minorBidi"/>
                <w:szCs w:val="20"/>
              </w:rPr>
              <w:t>Verantwoordelijkheid voor de sfeer</w:t>
            </w:r>
          </w:p>
          <w:p w14:paraId="2DDCB639" w14:textId="77777777" w:rsidR="00980F84" w:rsidRPr="002708AA" w:rsidRDefault="00980F84" w:rsidP="00980F84">
            <w:pPr>
              <w:pStyle w:val="Lijstalinea"/>
              <w:numPr>
                <w:ilvl w:val="0"/>
                <w:numId w:val="1"/>
              </w:numPr>
              <w:rPr>
                <w:rFonts w:eastAsiaTheme="minorEastAsia" w:cstheme="minorBidi"/>
                <w:szCs w:val="20"/>
              </w:rPr>
            </w:pPr>
            <w:r w:rsidRPr="002708AA">
              <w:rPr>
                <w:rFonts w:eastAsiaTheme="minorEastAsia" w:cstheme="minorBidi"/>
                <w:szCs w:val="20"/>
              </w:rPr>
              <w:t>Sociaal kapitaal</w:t>
            </w:r>
          </w:p>
          <w:p w14:paraId="074761CE" w14:textId="77777777" w:rsidR="00980F84" w:rsidRPr="005A1AC3" w:rsidRDefault="00980F84" w:rsidP="00DC5B35">
            <w:pPr>
              <w:rPr>
                <w:szCs w:val="20"/>
              </w:rPr>
            </w:pPr>
          </w:p>
          <w:p w14:paraId="587FDF0C" w14:textId="77777777" w:rsidR="00980F84" w:rsidRPr="005A1AC3" w:rsidRDefault="00980F84" w:rsidP="00DC5B35">
            <w:pPr>
              <w:rPr>
                <w:rFonts w:eastAsia="Calibri" w:cs="Calibri"/>
                <w:color w:val="000000" w:themeColor="text1"/>
                <w:szCs w:val="20"/>
              </w:rPr>
            </w:pPr>
            <w:r w:rsidRPr="00A60056">
              <w:rPr>
                <w:rFonts w:eastAsia="Calibri" w:cs="Calibri"/>
                <w:b/>
                <w:color w:val="000000" w:themeColor="text1"/>
                <w:szCs w:val="20"/>
              </w:rPr>
              <w:t>Les 2</w:t>
            </w:r>
          </w:p>
          <w:p w14:paraId="3C9CA694" w14:textId="77777777" w:rsidR="00980F84" w:rsidRPr="005A1AC3" w:rsidRDefault="00980F84" w:rsidP="00980F84">
            <w:pPr>
              <w:pStyle w:val="Lijstalinea"/>
              <w:numPr>
                <w:ilvl w:val="0"/>
                <w:numId w:val="4"/>
              </w:numPr>
              <w:rPr>
                <w:rFonts w:eastAsia="Calibri" w:cs="Calibri"/>
                <w:color w:val="000000" w:themeColor="text1"/>
                <w:szCs w:val="20"/>
              </w:rPr>
            </w:pPr>
            <w:r w:rsidRPr="00A60056">
              <w:rPr>
                <w:rFonts w:eastAsia="Calibri" w:cs="Calibri"/>
                <w:color w:val="000000" w:themeColor="text1"/>
                <w:szCs w:val="20"/>
              </w:rPr>
              <w:t>Laat leerlingen zelf een rollenspel bedenken als sociaal experiment (als zwerver, bedelaar, hangjongere) en laat ze dat uitvoeren.</w:t>
            </w:r>
          </w:p>
          <w:p w14:paraId="60AF3FB9" w14:textId="77777777" w:rsidR="00980F84" w:rsidRPr="005A1AC3" w:rsidRDefault="00980F84" w:rsidP="00980F84">
            <w:pPr>
              <w:pStyle w:val="Lijstalinea"/>
              <w:numPr>
                <w:ilvl w:val="0"/>
                <w:numId w:val="4"/>
              </w:numPr>
              <w:rPr>
                <w:rFonts w:eastAsia="Calibri" w:cs="Calibri"/>
                <w:color w:val="000000" w:themeColor="text1"/>
                <w:szCs w:val="20"/>
              </w:rPr>
            </w:pPr>
            <w:r w:rsidRPr="00A60056">
              <w:rPr>
                <w:rFonts w:eastAsia="Calibri" w:cs="Calibri"/>
                <w:color w:val="000000" w:themeColor="text1"/>
                <w:szCs w:val="20"/>
              </w:rPr>
              <w:t>Evalueer de resultaten van het experiment en laat leerlingen beschrijven wat ze hebben ervaren of wat voor reacties ze hebben gekregen van eventuele omstanders.</w:t>
            </w:r>
          </w:p>
          <w:p w14:paraId="3E2C92BE" w14:textId="77777777" w:rsidR="00980F84" w:rsidRPr="005A1AC3" w:rsidRDefault="00980F84" w:rsidP="00980F84">
            <w:pPr>
              <w:pStyle w:val="Lijstalinea"/>
              <w:numPr>
                <w:ilvl w:val="0"/>
                <w:numId w:val="4"/>
              </w:numPr>
              <w:rPr>
                <w:rFonts w:eastAsia="Calibri" w:cs="Calibri"/>
                <w:color w:val="000000" w:themeColor="text1"/>
                <w:szCs w:val="20"/>
              </w:rPr>
            </w:pPr>
            <w:r w:rsidRPr="00A60056">
              <w:rPr>
                <w:rFonts w:eastAsia="Calibri" w:cs="Calibri"/>
                <w:color w:val="000000" w:themeColor="text1"/>
                <w:szCs w:val="20"/>
              </w:rPr>
              <w:t>Focus op naastenliefde en wat ze daarvan hebben ervaren. Laat hen bedenken wat zij kunnen doen in de komende weken voor een dichtbije en/of verre naaste.</w:t>
            </w:r>
          </w:p>
          <w:p w14:paraId="4F066A80" w14:textId="77777777" w:rsidR="00980F84" w:rsidRPr="005A1AC3" w:rsidRDefault="00980F84" w:rsidP="00DC5B35">
            <w:pPr>
              <w:rPr>
                <w:szCs w:val="20"/>
              </w:rPr>
            </w:pPr>
          </w:p>
          <w:p w14:paraId="4430846B" w14:textId="77777777" w:rsidR="00980F84" w:rsidRPr="005A1AC3" w:rsidRDefault="00980F84" w:rsidP="00DC5B35">
            <w:pPr>
              <w:rPr>
                <w:szCs w:val="20"/>
                <w:u w:val="single"/>
              </w:rPr>
            </w:pPr>
            <w:r w:rsidRPr="005A1AC3">
              <w:rPr>
                <w:szCs w:val="20"/>
                <w:u w:val="single"/>
              </w:rPr>
              <w:t>Werkvorm</w:t>
            </w:r>
          </w:p>
          <w:p w14:paraId="1454E77F" w14:textId="77777777" w:rsidR="00980F84" w:rsidRPr="005A1AC3" w:rsidRDefault="00980F84" w:rsidP="00DC5B35">
            <w:pPr>
              <w:rPr>
                <w:i/>
                <w:szCs w:val="20"/>
                <w:vertAlign w:val="superscript"/>
              </w:rPr>
            </w:pPr>
            <w:proofErr w:type="gramStart"/>
            <w:r w:rsidRPr="005A1AC3">
              <w:rPr>
                <w:szCs w:val="20"/>
              </w:rPr>
              <w:t>klassikaal</w:t>
            </w:r>
            <w:proofErr w:type="gramEnd"/>
            <w:r w:rsidRPr="005A1AC3">
              <w:rPr>
                <w:szCs w:val="20"/>
              </w:rPr>
              <w:t>/tweetallen</w:t>
            </w:r>
          </w:p>
          <w:p w14:paraId="1841B8D3" w14:textId="77777777" w:rsidR="00980F84" w:rsidRPr="005A1AC3" w:rsidRDefault="00980F84" w:rsidP="00DC5B35">
            <w:pPr>
              <w:rPr>
                <w:szCs w:val="20"/>
              </w:rPr>
            </w:pPr>
          </w:p>
          <w:p w14:paraId="2C5C2748" w14:textId="77777777" w:rsidR="00980F84" w:rsidRPr="005A1AC3" w:rsidRDefault="00980F84" w:rsidP="00DC5B35">
            <w:pPr>
              <w:rPr>
                <w:szCs w:val="20"/>
                <w:u w:val="single"/>
              </w:rPr>
            </w:pPr>
            <w:r w:rsidRPr="005A1AC3">
              <w:rPr>
                <w:szCs w:val="20"/>
                <w:u w:val="single"/>
              </w:rPr>
              <w:t>Soort les</w:t>
            </w:r>
          </w:p>
          <w:p w14:paraId="665BCA93" w14:textId="77777777" w:rsidR="00980F84" w:rsidRPr="00A60056" w:rsidRDefault="00980F84" w:rsidP="00DC5B35">
            <w:pPr>
              <w:rPr>
                <w:szCs w:val="20"/>
              </w:rPr>
            </w:pPr>
            <w:proofErr w:type="gramStart"/>
            <w:r w:rsidRPr="005A1AC3">
              <w:rPr>
                <w:szCs w:val="20"/>
              </w:rPr>
              <w:t>losse</w:t>
            </w:r>
            <w:proofErr w:type="gramEnd"/>
            <w:r w:rsidRPr="005A1AC3">
              <w:rPr>
                <w:szCs w:val="20"/>
              </w:rPr>
              <w:t xml:space="preserve"> les passend in leerjaar 3 en 4 als het gaat over stadsgeografie, armoede en rijkdom, multiculturele samenleving (</w:t>
            </w:r>
            <w:proofErr w:type="spellStart"/>
            <w:r w:rsidRPr="005A1AC3">
              <w:rPr>
                <w:szCs w:val="20"/>
              </w:rPr>
              <w:t>melting</w:t>
            </w:r>
            <w:proofErr w:type="spellEnd"/>
            <w:r w:rsidRPr="005A1AC3">
              <w:rPr>
                <w:szCs w:val="20"/>
              </w:rPr>
              <w:t xml:space="preserve"> pot or </w:t>
            </w:r>
            <w:proofErr w:type="spellStart"/>
            <w:r w:rsidRPr="005A1AC3">
              <w:rPr>
                <w:szCs w:val="20"/>
              </w:rPr>
              <w:t>salad</w:t>
            </w:r>
            <w:proofErr w:type="spellEnd"/>
            <w:r w:rsidRPr="005A1AC3">
              <w:rPr>
                <w:szCs w:val="20"/>
              </w:rPr>
              <w:t xml:space="preserve"> bowl) en globalisering </w:t>
            </w:r>
          </w:p>
        </w:tc>
      </w:tr>
      <w:tr w:rsidR="00980F84" w:rsidRPr="00477D46" w14:paraId="65229A87" w14:textId="77777777" w:rsidTr="00DC5B35">
        <w:trPr>
          <w:trHeight w:val="300"/>
        </w:trPr>
        <w:tc>
          <w:tcPr>
            <w:tcW w:w="9067" w:type="dxa"/>
            <w:gridSpan w:val="5"/>
          </w:tcPr>
          <w:p w14:paraId="7CC2EE89" w14:textId="77777777" w:rsidR="00980F84" w:rsidRPr="00DD6B6F" w:rsidRDefault="00980F84" w:rsidP="00DC5B35">
            <w:pPr>
              <w:jc w:val="both"/>
              <w:rPr>
                <w:szCs w:val="20"/>
                <w:u w:val="single"/>
              </w:rPr>
            </w:pPr>
            <w:r w:rsidRPr="47616046">
              <w:rPr>
                <w:u w:val="single"/>
              </w:rPr>
              <w:lastRenderedPageBreak/>
              <w:t>Extra bronnen en hulpmiddelen</w:t>
            </w:r>
          </w:p>
          <w:p w14:paraId="5D46029E" w14:textId="77777777" w:rsidR="00980F84" w:rsidRPr="00C95ED4" w:rsidRDefault="00980F84" w:rsidP="00DC5B35">
            <w:pPr>
              <w:jc w:val="both"/>
              <w:rPr>
                <w:rFonts w:eastAsia="Calibri" w:cs="Calibri"/>
                <w:szCs w:val="20"/>
              </w:rPr>
            </w:pPr>
            <w:hyperlink r:id="rId7">
              <w:r w:rsidRPr="00C95ED4">
                <w:rPr>
                  <w:rStyle w:val="Hyperlink"/>
                  <w:rFonts w:eastAsia="Calibri" w:cs="Calibri"/>
                  <w:szCs w:val="20"/>
                </w:rPr>
                <w:t xml:space="preserve">Sociale cohesie - Mr. </w:t>
              </w:r>
              <w:proofErr w:type="spellStart"/>
              <w:r w:rsidRPr="00C95ED4">
                <w:rPr>
                  <w:rStyle w:val="Hyperlink"/>
                  <w:rFonts w:eastAsia="Calibri" w:cs="Calibri"/>
                  <w:szCs w:val="20"/>
                </w:rPr>
                <w:t>Chadd</w:t>
              </w:r>
              <w:proofErr w:type="spellEnd"/>
              <w:r w:rsidRPr="00C95ED4">
                <w:rPr>
                  <w:rStyle w:val="Hyperlink"/>
                  <w:rFonts w:eastAsia="Calibri" w:cs="Calibri"/>
                  <w:szCs w:val="20"/>
                </w:rPr>
                <w:t xml:space="preserve"> Academy (mrchadd.nl)</w:t>
              </w:r>
            </w:hyperlink>
          </w:p>
          <w:p w14:paraId="61DF432F" w14:textId="77777777" w:rsidR="00980F84" w:rsidRPr="00A60056" w:rsidRDefault="00980F84" w:rsidP="00DC5B35">
            <w:pPr>
              <w:jc w:val="both"/>
              <w:rPr>
                <w:rFonts w:eastAsia="Calibri" w:cs="Calibri"/>
                <w:szCs w:val="20"/>
              </w:rPr>
            </w:pPr>
            <w:hyperlink r:id="rId8">
              <w:r w:rsidRPr="00A60056">
                <w:rPr>
                  <w:rStyle w:val="Hyperlink"/>
                  <w:rFonts w:eastAsia="Calibri" w:cs="Calibri"/>
                  <w:color w:val="0000FF"/>
                  <w:szCs w:val="20"/>
                </w:rPr>
                <w:t>SCP-Meerjarenplan_03DeDiverseBevolkingVanNederland.pdf</w:t>
              </w:r>
            </w:hyperlink>
          </w:p>
          <w:p w14:paraId="4D214F78" w14:textId="77777777" w:rsidR="00980F84" w:rsidRPr="00A60056" w:rsidRDefault="00980F84" w:rsidP="00DC5B35">
            <w:pPr>
              <w:jc w:val="both"/>
              <w:rPr>
                <w:rFonts w:eastAsia="Calibri" w:cs="Calibri"/>
                <w:color w:val="0000FF"/>
                <w:szCs w:val="20"/>
                <w:u w:val="single"/>
              </w:rPr>
            </w:pPr>
          </w:p>
          <w:p w14:paraId="11F28FEE" w14:textId="77777777" w:rsidR="00980F84" w:rsidRPr="00A60056" w:rsidRDefault="00980F84" w:rsidP="00DC5B35">
            <w:pPr>
              <w:jc w:val="both"/>
              <w:rPr>
                <w:rFonts w:eastAsia="Calibri" w:cs="Calibri"/>
                <w:szCs w:val="20"/>
              </w:rPr>
            </w:pPr>
            <w:hyperlink r:id="rId9">
              <w:r w:rsidRPr="00A60056">
                <w:rPr>
                  <w:rStyle w:val="Hyperlink"/>
                  <w:rFonts w:eastAsia="Calibri" w:cs="Calibri"/>
                  <w:color w:val="0000FF"/>
                  <w:szCs w:val="20"/>
                </w:rPr>
                <w:t>Verkenning van toekomstige ontwikkeling van sociale cohesie | Onderzoeksprogramma | Sociaal en Cultureel Planbureau (scp.nl)</w:t>
              </w:r>
            </w:hyperlink>
          </w:p>
          <w:p w14:paraId="21884F11" w14:textId="77777777" w:rsidR="00980F84" w:rsidRPr="00A60056" w:rsidRDefault="00980F84" w:rsidP="00DC5B35">
            <w:pPr>
              <w:jc w:val="both"/>
              <w:rPr>
                <w:rFonts w:eastAsia="Calibri" w:cs="Calibri"/>
                <w:color w:val="0000FF"/>
                <w:szCs w:val="20"/>
                <w:u w:val="single"/>
              </w:rPr>
            </w:pPr>
          </w:p>
          <w:p w14:paraId="054DFC19" w14:textId="77777777" w:rsidR="00980F84" w:rsidRPr="00A60056" w:rsidRDefault="00980F84" w:rsidP="00DC5B35">
            <w:pPr>
              <w:jc w:val="both"/>
              <w:rPr>
                <w:rFonts w:eastAsia="Calibri" w:cs="Calibri"/>
                <w:szCs w:val="20"/>
              </w:rPr>
            </w:pPr>
            <w:hyperlink r:id="rId10">
              <w:r w:rsidRPr="00A60056">
                <w:rPr>
                  <w:rStyle w:val="Hyperlink"/>
                  <w:rFonts w:eastAsia="Calibri" w:cs="Calibri"/>
                  <w:szCs w:val="20"/>
                </w:rPr>
                <w:t>Kernconcept sociale cohesie maatschappijwetenschappen - YouTube</w:t>
              </w:r>
            </w:hyperlink>
          </w:p>
          <w:p w14:paraId="1BCCF20C" w14:textId="77777777" w:rsidR="00980F84" w:rsidRPr="00A60056" w:rsidRDefault="00980F84" w:rsidP="00DC5B35">
            <w:pPr>
              <w:jc w:val="both"/>
              <w:rPr>
                <w:rFonts w:eastAsia="Calibri" w:cs="Calibri"/>
                <w:szCs w:val="20"/>
              </w:rPr>
            </w:pPr>
          </w:p>
          <w:p w14:paraId="206E7B39" w14:textId="77777777" w:rsidR="00980F84" w:rsidRPr="00A60056" w:rsidRDefault="00980F84" w:rsidP="00DC5B35">
            <w:pPr>
              <w:jc w:val="both"/>
              <w:rPr>
                <w:rFonts w:eastAsia="Calibri" w:cs="Calibri"/>
                <w:szCs w:val="20"/>
              </w:rPr>
            </w:pPr>
            <w:r w:rsidRPr="00A60056">
              <w:rPr>
                <w:rFonts w:eastAsia="Calibri" w:cs="Calibri"/>
                <w:szCs w:val="20"/>
              </w:rPr>
              <w:t>Bijbelgedeelten:</w:t>
            </w:r>
          </w:p>
          <w:p w14:paraId="4979EA69" w14:textId="77777777" w:rsidR="00980F84" w:rsidRPr="00A60056" w:rsidRDefault="00980F84" w:rsidP="00DC5B35">
            <w:pPr>
              <w:jc w:val="both"/>
              <w:rPr>
                <w:rFonts w:eastAsia="Calibri" w:cs="Calibri"/>
                <w:szCs w:val="20"/>
                <w:lang w:val="fr-FR"/>
              </w:rPr>
            </w:pPr>
            <w:r w:rsidRPr="00A60056">
              <w:rPr>
                <w:rFonts w:eastAsia="Calibri" w:cs="Calibri"/>
                <w:szCs w:val="20"/>
                <w:lang w:val="fr-FR"/>
              </w:rPr>
              <w:t xml:space="preserve">Ex </w:t>
            </w:r>
            <w:proofErr w:type="gramStart"/>
            <w:r w:rsidRPr="00A60056">
              <w:rPr>
                <w:rFonts w:eastAsia="Calibri" w:cs="Calibri"/>
                <w:szCs w:val="20"/>
                <w:lang w:val="fr-FR"/>
              </w:rPr>
              <w:t>23:</w:t>
            </w:r>
            <w:proofErr w:type="gramEnd"/>
            <w:r w:rsidRPr="00A60056">
              <w:rPr>
                <w:rFonts w:eastAsia="Calibri" w:cs="Calibri"/>
                <w:szCs w:val="20"/>
                <w:lang w:val="fr-FR"/>
              </w:rPr>
              <w:t xml:space="preserve">9 /Lev 19 /Markus 12:30 en 31/ </w:t>
            </w:r>
            <w:proofErr w:type="spellStart"/>
            <w:r w:rsidRPr="00A60056">
              <w:rPr>
                <w:rFonts w:eastAsia="Calibri" w:cs="Calibri"/>
                <w:szCs w:val="20"/>
                <w:lang w:val="fr-FR"/>
              </w:rPr>
              <w:t>lukas</w:t>
            </w:r>
            <w:proofErr w:type="spellEnd"/>
            <w:r w:rsidRPr="00A60056">
              <w:rPr>
                <w:rFonts w:eastAsia="Calibri" w:cs="Calibri"/>
                <w:szCs w:val="20"/>
                <w:lang w:val="fr-FR"/>
              </w:rPr>
              <w:t xml:space="preserve"> 10:25 37</w:t>
            </w:r>
          </w:p>
        </w:tc>
      </w:tr>
      <w:tr w:rsidR="00980F84" w:rsidRPr="00A60056" w14:paraId="1B9841DA" w14:textId="77777777" w:rsidTr="00DC5B35">
        <w:trPr>
          <w:trHeight w:val="300"/>
        </w:trPr>
        <w:tc>
          <w:tcPr>
            <w:tcW w:w="9067" w:type="dxa"/>
            <w:gridSpan w:val="5"/>
            <w:shd w:val="clear" w:color="auto" w:fill="E8E8E8" w:themeFill="background2"/>
          </w:tcPr>
          <w:p w14:paraId="7B8F2BD1" w14:textId="77777777" w:rsidR="00980F84" w:rsidRPr="00A60056" w:rsidRDefault="00980F84" w:rsidP="00DC5B35">
            <w:pPr>
              <w:jc w:val="center"/>
              <w:rPr>
                <w:rFonts w:eastAsia="Verdana" w:cs="Verdana"/>
                <w:i/>
                <w:iCs/>
                <w:color w:val="000000" w:themeColor="text1"/>
                <w:szCs w:val="20"/>
              </w:rPr>
            </w:pPr>
            <w:r w:rsidRPr="00A60056">
              <w:rPr>
                <w:rFonts w:eastAsia="Verdana" w:cs="Verdana"/>
                <w:i/>
                <w:iCs/>
                <w:color w:val="000000" w:themeColor="text1"/>
                <w:szCs w:val="20"/>
              </w:rPr>
              <w:t>Deze les is ontworpen op basis van de didactische diamant.</w:t>
            </w:r>
          </w:p>
          <w:p w14:paraId="3E90FE04" w14:textId="77777777" w:rsidR="00980F84" w:rsidRPr="00A60056" w:rsidRDefault="00980F84" w:rsidP="00DC5B35">
            <w:pPr>
              <w:jc w:val="center"/>
              <w:rPr>
                <w:szCs w:val="20"/>
              </w:rPr>
            </w:pPr>
            <w:r w:rsidRPr="00A60056">
              <w:rPr>
                <w:rFonts w:eastAsia="Verdana" w:cs="Verdana"/>
                <w:i/>
                <w:iCs/>
                <w:color w:val="000000" w:themeColor="text1"/>
                <w:szCs w:val="20"/>
              </w:rPr>
              <w:t>Onderzoekscentrum Driestar educatief Gouda.</w:t>
            </w:r>
          </w:p>
          <w:p w14:paraId="5B6DBA7D" w14:textId="77777777" w:rsidR="00980F84" w:rsidRPr="00A60056" w:rsidRDefault="00980F84" w:rsidP="00DC5B35">
            <w:pPr>
              <w:jc w:val="center"/>
              <w:rPr>
                <w:szCs w:val="20"/>
              </w:rPr>
            </w:pPr>
            <w:r w:rsidRPr="00A60056">
              <w:rPr>
                <w:rFonts w:eastAsia="Verdana" w:cs="Verdana"/>
                <w:i/>
                <w:iCs/>
                <w:color w:val="000000" w:themeColor="text1"/>
                <w:szCs w:val="20"/>
              </w:rPr>
              <w:t xml:space="preserve">Verspreiding toegestaan </w:t>
            </w:r>
            <w:proofErr w:type="gramStart"/>
            <w:r w:rsidRPr="00A60056">
              <w:rPr>
                <w:rFonts w:eastAsia="Verdana" w:cs="Verdana"/>
                <w:i/>
                <w:iCs/>
                <w:color w:val="000000" w:themeColor="text1"/>
                <w:szCs w:val="20"/>
              </w:rPr>
              <w:t>indien</w:t>
            </w:r>
            <w:proofErr w:type="gramEnd"/>
            <w:r w:rsidRPr="00A60056">
              <w:rPr>
                <w:rFonts w:eastAsia="Verdana" w:cs="Verdana"/>
                <w:i/>
                <w:iCs/>
                <w:color w:val="000000" w:themeColor="text1"/>
                <w:szCs w:val="20"/>
              </w:rPr>
              <w:t xml:space="preserve"> de bron vermeld wordt.</w:t>
            </w:r>
          </w:p>
        </w:tc>
      </w:tr>
    </w:tbl>
    <w:p w14:paraId="3B230603" w14:textId="77777777" w:rsidR="00980F84" w:rsidRDefault="00980F84" w:rsidP="00980F84">
      <w:pPr>
        <w:jc w:val="both"/>
      </w:pPr>
    </w:p>
    <w:sectPr w:rsidR="00980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20D07"/>
    <w:multiLevelType w:val="hybridMultilevel"/>
    <w:tmpl w:val="06CE5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230AF9"/>
    <w:multiLevelType w:val="hybridMultilevel"/>
    <w:tmpl w:val="524A4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72291F"/>
    <w:multiLevelType w:val="hybridMultilevel"/>
    <w:tmpl w:val="72662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C91FAA"/>
    <w:multiLevelType w:val="hybridMultilevel"/>
    <w:tmpl w:val="02D64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001794">
    <w:abstractNumId w:val="1"/>
  </w:num>
  <w:num w:numId="2" w16cid:durableId="1636250148">
    <w:abstractNumId w:val="3"/>
  </w:num>
  <w:num w:numId="3" w16cid:durableId="576671893">
    <w:abstractNumId w:val="0"/>
  </w:num>
  <w:num w:numId="4" w16cid:durableId="1969972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84"/>
    <w:rsid w:val="00163B1B"/>
    <w:rsid w:val="0073174A"/>
    <w:rsid w:val="008D77C8"/>
    <w:rsid w:val="00980F84"/>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3820"/>
  <w15:chartTrackingRefBased/>
  <w15:docId w15:val="{704E41F9-C64F-4943-8FFF-2E303FE1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0F84"/>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980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0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80F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0F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0F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0F8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0F8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0F8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0F8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0F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0F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80F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0F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0F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0F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0F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0F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0F84"/>
    <w:rPr>
      <w:rFonts w:eastAsiaTheme="majorEastAsia" w:cstheme="majorBidi"/>
      <w:color w:val="272727" w:themeColor="text1" w:themeTint="D8"/>
    </w:rPr>
  </w:style>
  <w:style w:type="paragraph" w:styleId="Titel">
    <w:name w:val="Title"/>
    <w:basedOn w:val="Standaard"/>
    <w:next w:val="Standaard"/>
    <w:link w:val="TitelChar"/>
    <w:uiPriority w:val="10"/>
    <w:qFormat/>
    <w:rsid w:val="00980F8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0F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0F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0F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0F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0F84"/>
    <w:rPr>
      <w:i/>
      <w:iCs/>
      <w:color w:val="404040" w:themeColor="text1" w:themeTint="BF"/>
    </w:rPr>
  </w:style>
  <w:style w:type="paragraph" w:styleId="Lijstalinea">
    <w:name w:val="List Paragraph"/>
    <w:basedOn w:val="Standaard"/>
    <w:uiPriority w:val="34"/>
    <w:qFormat/>
    <w:rsid w:val="00980F84"/>
    <w:pPr>
      <w:ind w:left="720"/>
      <w:contextualSpacing/>
    </w:pPr>
  </w:style>
  <w:style w:type="character" w:styleId="Intensievebenadrukking">
    <w:name w:val="Intense Emphasis"/>
    <w:basedOn w:val="Standaardalinea-lettertype"/>
    <w:uiPriority w:val="21"/>
    <w:qFormat/>
    <w:rsid w:val="00980F84"/>
    <w:rPr>
      <w:i/>
      <w:iCs/>
      <w:color w:val="0F4761" w:themeColor="accent1" w:themeShade="BF"/>
    </w:rPr>
  </w:style>
  <w:style w:type="paragraph" w:styleId="Duidelijkcitaat">
    <w:name w:val="Intense Quote"/>
    <w:basedOn w:val="Standaard"/>
    <w:next w:val="Standaard"/>
    <w:link w:val="DuidelijkcitaatChar"/>
    <w:uiPriority w:val="30"/>
    <w:qFormat/>
    <w:rsid w:val="0098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0F84"/>
    <w:rPr>
      <w:i/>
      <w:iCs/>
      <w:color w:val="0F4761" w:themeColor="accent1" w:themeShade="BF"/>
    </w:rPr>
  </w:style>
  <w:style w:type="character" w:styleId="Intensieveverwijzing">
    <w:name w:val="Intense Reference"/>
    <w:basedOn w:val="Standaardalinea-lettertype"/>
    <w:uiPriority w:val="32"/>
    <w:qFormat/>
    <w:rsid w:val="00980F84"/>
    <w:rPr>
      <w:b/>
      <w:bCs/>
      <w:smallCaps/>
      <w:color w:val="0F4761" w:themeColor="accent1" w:themeShade="BF"/>
      <w:spacing w:val="5"/>
    </w:rPr>
  </w:style>
  <w:style w:type="character" w:styleId="Hyperlink">
    <w:name w:val="Hyperlink"/>
    <w:basedOn w:val="Standaardalinea-lettertype"/>
    <w:uiPriority w:val="99"/>
    <w:unhideWhenUsed/>
    <w:rsid w:val="00980F8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al.scp.nl/pdf/meerjarenplan/SCP-Meerjarenplan_03DeDiverseBevolkingVanNederland.pdf" TargetMode="External"/><Relationship Id="rId3" Type="http://schemas.openxmlformats.org/officeDocument/2006/relationships/settings" Target="settings.xml"/><Relationship Id="rId7" Type="http://schemas.openxmlformats.org/officeDocument/2006/relationships/hyperlink" Target="https://www.mrchadd.nl/academy/vakken/maatschappijleer/sociale-cohes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nieuwsuur/artikel/2318615-geef-daklozen-geen-geld-maar-behandel-ze-als-mens-zegt-deze-ex-dakloze" TargetMode="External"/><Relationship Id="rId11" Type="http://schemas.openxmlformats.org/officeDocument/2006/relationships/fontTable" Target="fontTable.xml"/><Relationship Id="rId5" Type="http://schemas.openxmlformats.org/officeDocument/2006/relationships/hyperlink" Target="https://www.mrchadd.nl/academy/vakken/maatschappijleer/sociale-cohesie" TargetMode="External"/><Relationship Id="rId10" Type="http://schemas.openxmlformats.org/officeDocument/2006/relationships/hyperlink" Target="https://www.youtube.com/watch?v=Nzz_AxyHquE&amp;t=58s" TargetMode="External"/><Relationship Id="rId4" Type="http://schemas.openxmlformats.org/officeDocument/2006/relationships/webSettings" Target="webSettings.xml"/><Relationship Id="rId9" Type="http://schemas.openxmlformats.org/officeDocument/2006/relationships/hyperlink" Target="https://www.scp.nl/onderzoeksprogramma/verkenning-van-toekomstige-ontwikkeling-van-sociale-cohes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3213</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2024-06-18T19:13:00Z</dcterms:created>
  <dcterms:modified xsi:type="dcterms:W3CDTF">2024-06-18T19:14:00Z</dcterms:modified>
</cp:coreProperties>
</file>