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00382" w14:textId="77777777" w:rsidR="00F8734D" w:rsidRDefault="00F8734D" w:rsidP="00F8734D">
      <w:pPr>
        <w:pStyle w:val="Kop1"/>
      </w:pPr>
      <w:bookmarkStart w:id="0" w:name="_Toc168738324"/>
      <w:r>
        <w:t>Handreiking thema 5: Sociale cohesie in de multiculturele samenleving.</w:t>
      </w:r>
      <w:bookmarkEnd w:id="0"/>
    </w:p>
    <w:p w14:paraId="614366D2" w14:textId="77777777" w:rsidR="00F8734D" w:rsidRDefault="00F8734D" w:rsidP="00F8734D">
      <w:pPr>
        <w:jc w:val="both"/>
      </w:pPr>
    </w:p>
    <w:p w14:paraId="71CC62E6" w14:textId="77777777" w:rsidR="00F8734D" w:rsidRDefault="00F8734D" w:rsidP="00F8734D">
      <w:pPr>
        <w:pStyle w:val="Kop2"/>
        <w:jc w:val="both"/>
      </w:pPr>
      <w:bookmarkStart w:id="1" w:name="_Toc168738325"/>
      <w:r>
        <w:t>Introductie</w:t>
      </w:r>
      <w:bookmarkEnd w:id="1"/>
    </w:p>
    <w:p w14:paraId="48FAFEE0" w14:textId="77777777" w:rsidR="00F8734D" w:rsidRPr="00552BB2" w:rsidRDefault="00F8734D" w:rsidP="00F8734D">
      <w:pPr>
        <w:jc w:val="both"/>
        <w:rPr>
          <w:rFonts w:eastAsia="Calibri" w:cs="Calibri"/>
          <w:i/>
          <w:iCs/>
          <w:color w:val="000000" w:themeColor="text1"/>
          <w:szCs w:val="20"/>
          <w:u w:val="single"/>
        </w:rPr>
      </w:pPr>
      <w:r w:rsidRPr="00552BB2">
        <w:rPr>
          <w:rFonts w:eastAsia="Calibri" w:cs="Calibri"/>
          <w:color w:val="000000" w:themeColor="text1"/>
          <w:szCs w:val="20"/>
        </w:rPr>
        <w:t xml:space="preserve">“Sociale cohesie gaat over de mate waarin (groepen) mensen zich met elkaar en met allerlei instituties verbonden voelen, en </w:t>
      </w:r>
      <w:r>
        <w:rPr>
          <w:rFonts w:eastAsia="Calibri" w:cs="Calibri"/>
          <w:color w:val="000000" w:themeColor="text1"/>
          <w:szCs w:val="20"/>
        </w:rPr>
        <w:t>over</w:t>
      </w:r>
      <w:r w:rsidRPr="00552BB2">
        <w:rPr>
          <w:rFonts w:eastAsia="Calibri" w:cs="Calibri"/>
          <w:color w:val="000000" w:themeColor="text1"/>
          <w:szCs w:val="20"/>
        </w:rPr>
        <w:t xml:space="preserve"> het gedrag dat hieraan invulling geeft.” </w:t>
      </w:r>
      <w:r w:rsidRPr="00552BB2">
        <w:rPr>
          <w:rFonts w:eastAsia="Calibri" w:cs="Calibri"/>
          <w:i/>
          <w:iCs/>
          <w:color w:val="000000" w:themeColor="text1"/>
          <w:szCs w:val="20"/>
          <w:u w:val="single"/>
        </w:rPr>
        <w:t>Definitie van het SCP</w:t>
      </w:r>
      <w:r w:rsidRPr="00552BB2">
        <w:rPr>
          <w:rFonts w:eastAsia="Calibri" w:cs="Calibri"/>
          <w:color w:val="000000" w:themeColor="text1"/>
          <w:szCs w:val="20"/>
        </w:rPr>
        <w:t xml:space="preserve"> </w:t>
      </w:r>
    </w:p>
    <w:p w14:paraId="6010B1D0" w14:textId="77777777" w:rsidR="00F8734D" w:rsidRPr="00552BB2" w:rsidRDefault="00F8734D" w:rsidP="00F8734D">
      <w:pPr>
        <w:jc w:val="both"/>
        <w:rPr>
          <w:rFonts w:eastAsia="Calibri" w:cs="Calibri"/>
          <w:color w:val="000000" w:themeColor="text1"/>
          <w:szCs w:val="20"/>
        </w:rPr>
      </w:pPr>
      <w:r w:rsidRPr="00552BB2">
        <w:rPr>
          <w:rFonts w:eastAsia="Calibri" w:cs="Calibri"/>
          <w:color w:val="000000" w:themeColor="text1"/>
          <w:szCs w:val="20"/>
        </w:rPr>
        <w:t>Vandaag de dag bestaan er zorgen of burgers zich nog wel met elkaar verbonden voelen en of zij voldoende vertrouwen hebben in instituties zoals de politie, pers of Tweede Kamer. Vanuit het vakconcept gaat het hier over horizontale en verticale relaties en dat op verschillende schaalniveaus. De thema's liefde, gerechtigheid en barmhartigheid vragen van ons en onze leerlingen betrokkenheid op de gevolgen van ons handelen op onze medemens</w:t>
      </w:r>
      <w:r>
        <w:rPr>
          <w:rFonts w:eastAsia="Calibri" w:cs="Calibri"/>
          <w:color w:val="000000" w:themeColor="text1"/>
          <w:szCs w:val="20"/>
        </w:rPr>
        <w:t>.</w:t>
      </w:r>
    </w:p>
    <w:p w14:paraId="7B825B9D" w14:textId="77777777" w:rsidR="00F8734D" w:rsidRPr="00552BB2" w:rsidRDefault="00F8734D" w:rsidP="00F8734D">
      <w:pPr>
        <w:jc w:val="both"/>
        <w:rPr>
          <w:rFonts w:eastAsia="Calibri" w:cs="Calibri"/>
          <w:i/>
          <w:color w:val="000000" w:themeColor="text1"/>
          <w:szCs w:val="20"/>
          <w:u w:val="single"/>
        </w:rPr>
      </w:pPr>
    </w:p>
    <w:p w14:paraId="53019B2F" w14:textId="77777777" w:rsidR="00F8734D" w:rsidRDefault="00F8734D" w:rsidP="00F8734D">
      <w:pPr>
        <w:jc w:val="both"/>
      </w:pPr>
      <w:r w:rsidRPr="6641454D">
        <w:rPr>
          <w:b/>
        </w:rPr>
        <w:t>Visie</w:t>
      </w:r>
    </w:p>
    <w:p w14:paraId="7FAB2B5E" w14:textId="77777777" w:rsidR="00F8734D" w:rsidRPr="00552BB2" w:rsidRDefault="00F8734D" w:rsidP="00F8734D">
      <w:pPr>
        <w:jc w:val="both"/>
      </w:pPr>
      <w:r>
        <w:t>Sociale cohesie heeft alles te maken met ruimtelijke cohesie. Onbekend maakt onbemind. Het is opvallend dat in een tijd waarin sociale media zo'n grote rol spelen, de bevolkingsgroepen vaak niet nader tot elkaar komen, sterker nog dat de tegenstellingen groter worden.</w:t>
      </w:r>
      <w:r w:rsidRPr="194482B3">
        <w:rPr>
          <w:color w:val="156082" w:themeColor="accent1"/>
        </w:rPr>
        <w:t xml:space="preserve"> </w:t>
      </w:r>
      <w:r>
        <w:t xml:space="preserve">We zien om ons heen een trend van radicalisering van standpunten. De afname van de sociale cohesie wordt gevoed en versterkt door het gebrek aan ruimtelijke cohesie. We leven in onze eigen huizen en voelen ons weinig betrokken op de buurt. Of we wonen in een buurt waar alleen ‘ons soort mensen’ woont. Ontmoetingen met andere culturen zijn eerder uitzondering dan regel. </w:t>
      </w:r>
    </w:p>
    <w:p w14:paraId="64ABB86C" w14:textId="77777777" w:rsidR="00F8734D" w:rsidRPr="00552BB2" w:rsidRDefault="00F8734D" w:rsidP="00F8734D">
      <w:pPr>
        <w:jc w:val="both"/>
        <w:rPr>
          <w:szCs w:val="20"/>
        </w:rPr>
      </w:pPr>
      <w:r w:rsidRPr="00552BB2">
        <w:rPr>
          <w:szCs w:val="20"/>
        </w:rPr>
        <w:t>In de Bijbel lezen we dat sociale verschillen geen rol mogen spelen in de christelijke gemeente. Vrijwel al onze gemeentes vormen vrij homogene gezelschappen. Binnen de gemeentes is de cohesie in potentie wel aanwezig. Maar wat is de rol van de kerken in de multiculturele samenleving in een globaliserende wereld. Hoe speelt dit thema in steden en dorpen, maar ook op scholen en verenigingen?</w:t>
      </w:r>
    </w:p>
    <w:p w14:paraId="2ACEEA11" w14:textId="77777777" w:rsidR="00F8734D" w:rsidRPr="00552BB2" w:rsidRDefault="00F8734D" w:rsidP="00F8734D">
      <w:pPr>
        <w:jc w:val="both"/>
        <w:rPr>
          <w:szCs w:val="20"/>
        </w:rPr>
      </w:pPr>
    </w:p>
    <w:p w14:paraId="5EF6580E" w14:textId="77777777" w:rsidR="00F8734D" w:rsidRPr="00552BB2" w:rsidRDefault="00F8734D" w:rsidP="00F8734D">
      <w:pPr>
        <w:jc w:val="both"/>
        <w:rPr>
          <w:b/>
          <w:bCs/>
        </w:rPr>
      </w:pPr>
      <w:r w:rsidRPr="47616046">
        <w:rPr>
          <w:b/>
          <w:bCs/>
        </w:rPr>
        <w:t>Didactische diamant</w:t>
      </w:r>
      <w:r w:rsidRPr="47616046">
        <w:rPr>
          <w:rFonts w:eastAsia="Calibri" w:cs="Calibri"/>
          <w:i/>
          <w:iCs/>
        </w:rPr>
        <w:t xml:space="preserve"> </w:t>
      </w:r>
    </w:p>
    <w:p w14:paraId="2B9CEEAC" w14:textId="77777777" w:rsidR="00F8734D" w:rsidRPr="00552BB2" w:rsidRDefault="00F8734D" w:rsidP="00F8734D">
      <w:pPr>
        <w:jc w:val="both"/>
        <w:rPr>
          <w:rFonts w:eastAsia="Calibri" w:cs="Calibri"/>
          <w:i/>
          <w:iCs/>
        </w:rPr>
      </w:pPr>
      <w:r w:rsidRPr="47616046">
        <w:rPr>
          <w:rFonts w:eastAsia="Calibri" w:cs="Calibri"/>
          <w:i/>
          <w:iCs/>
        </w:rPr>
        <w:t>A kies één van onderstaande thema’s:</w:t>
      </w:r>
    </w:p>
    <w:p w14:paraId="3E7D114E" w14:textId="77777777" w:rsidR="00F8734D" w:rsidRPr="00552BB2" w:rsidRDefault="00F8734D" w:rsidP="00F8734D">
      <w:pPr>
        <w:jc w:val="both"/>
        <w:rPr>
          <w:szCs w:val="20"/>
        </w:rPr>
      </w:pPr>
      <w:r w:rsidRPr="00552BB2">
        <w:rPr>
          <w:rFonts w:eastAsia="Calibri" w:cs="Calibri"/>
          <w:szCs w:val="20"/>
        </w:rPr>
        <w:t>1-Broedervolken in het Midden-Oosten of in ieder geval verre familie, maar ook ‘alleen wonen’ van het volk Israël</w:t>
      </w:r>
    </w:p>
    <w:p w14:paraId="5F0DA87D" w14:textId="77777777" w:rsidR="00F8734D" w:rsidRPr="00552BB2" w:rsidRDefault="00F8734D" w:rsidP="00F8734D">
      <w:pPr>
        <w:jc w:val="both"/>
        <w:rPr>
          <w:szCs w:val="20"/>
        </w:rPr>
      </w:pPr>
      <w:r w:rsidRPr="00552BB2">
        <w:rPr>
          <w:rFonts w:eastAsia="Calibri" w:cs="Calibri"/>
          <w:szCs w:val="20"/>
        </w:rPr>
        <w:t xml:space="preserve">2-Bijbelse voorbeelden van omgaan met de vreemdeling, maar ook Kain en Abel en ook de barmhartige </w:t>
      </w:r>
      <w:proofErr w:type="gramStart"/>
      <w:r w:rsidRPr="00552BB2">
        <w:rPr>
          <w:rFonts w:eastAsia="Calibri" w:cs="Calibri"/>
          <w:szCs w:val="20"/>
        </w:rPr>
        <w:t>Samaritaan.(</w:t>
      </w:r>
      <w:proofErr w:type="gramEnd"/>
      <w:r>
        <w:rPr>
          <w:rFonts w:eastAsia="Calibri" w:cs="Calibri"/>
          <w:szCs w:val="20"/>
        </w:rPr>
        <w:t>E</w:t>
      </w:r>
      <w:r w:rsidRPr="00552BB2">
        <w:rPr>
          <w:rFonts w:eastAsia="Calibri" w:cs="Calibri"/>
          <w:szCs w:val="20"/>
        </w:rPr>
        <w:t xml:space="preserve">xodus 23:9, lev. 19.34, </w:t>
      </w:r>
      <w:proofErr w:type="spellStart"/>
      <w:r w:rsidRPr="00552BB2">
        <w:rPr>
          <w:rFonts w:eastAsia="Calibri" w:cs="Calibri"/>
          <w:szCs w:val="20"/>
        </w:rPr>
        <w:t>deut.</w:t>
      </w:r>
      <w:proofErr w:type="spellEnd"/>
      <w:r w:rsidRPr="00552BB2">
        <w:rPr>
          <w:rFonts w:eastAsia="Calibri" w:cs="Calibri"/>
          <w:szCs w:val="20"/>
        </w:rPr>
        <w:t xml:space="preserve"> 10)</w:t>
      </w:r>
    </w:p>
    <w:p w14:paraId="2A05A45E" w14:textId="77777777" w:rsidR="00F8734D" w:rsidRPr="00552BB2" w:rsidRDefault="00F8734D" w:rsidP="00F8734D">
      <w:pPr>
        <w:jc w:val="both"/>
        <w:rPr>
          <w:szCs w:val="20"/>
        </w:rPr>
      </w:pPr>
      <w:r w:rsidRPr="00552BB2">
        <w:rPr>
          <w:rFonts w:eastAsia="Calibri" w:cs="Calibri"/>
          <w:szCs w:val="20"/>
        </w:rPr>
        <w:t>3-Pestgedrag op school.</w:t>
      </w:r>
    </w:p>
    <w:p w14:paraId="357F85A3" w14:textId="77777777" w:rsidR="00F8734D" w:rsidRPr="00552BB2" w:rsidRDefault="00F8734D" w:rsidP="00F8734D">
      <w:pPr>
        <w:jc w:val="both"/>
        <w:rPr>
          <w:rFonts w:eastAsia="Calibri" w:cs="Calibri"/>
        </w:rPr>
      </w:pPr>
      <w:r w:rsidRPr="47616046">
        <w:rPr>
          <w:rFonts w:eastAsia="Calibri" w:cs="Calibri"/>
        </w:rPr>
        <w:t>4-Je reactie op zwervers of bezoekers van de voedselbank. (</w:t>
      </w:r>
      <w:hyperlink r:id="rId5">
        <w:r w:rsidRPr="47616046">
          <w:rPr>
            <w:rStyle w:val="Hyperlink"/>
            <w:rFonts w:eastAsia="Verdana" w:cs="Verdana"/>
            <w:szCs w:val="20"/>
          </w:rPr>
          <w:t>Geef daklozen geen geld maar behandel ze als mens, zegt deze ex-dakloze (nos.nl)</w:t>
        </w:r>
      </w:hyperlink>
      <w:r w:rsidRPr="47616046">
        <w:rPr>
          <w:rFonts w:eastAsia="Verdana" w:cs="Verdana"/>
          <w:szCs w:val="20"/>
        </w:rPr>
        <w:t xml:space="preserve"> </w:t>
      </w:r>
      <w:r w:rsidRPr="47616046">
        <w:rPr>
          <w:rFonts w:eastAsia="Calibri" w:cs="Calibri"/>
        </w:rPr>
        <w:t>)</w:t>
      </w:r>
    </w:p>
    <w:p w14:paraId="78368FBC" w14:textId="77777777" w:rsidR="00F8734D" w:rsidRPr="00552BB2" w:rsidRDefault="00F8734D" w:rsidP="00F8734D">
      <w:pPr>
        <w:jc w:val="both"/>
        <w:rPr>
          <w:rFonts w:eastAsia="Calibri" w:cs="Calibri"/>
          <w:i/>
          <w:szCs w:val="20"/>
        </w:rPr>
      </w:pPr>
      <w:r w:rsidRPr="00552BB2">
        <w:rPr>
          <w:rFonts w:eastAsia="Calibri" w:cs="Calibri"/>
          <w:i/>
          <w:szCs w:val="20"/>
        </w:rPr>
        <w:t>B Essentie is “er bij (</w:t>
      </w:r>
      <w:proofErr w:type="gramStart"/>
      <w:r w:rsidRPr="00552BB2">
        <w:rPr>
          <w:rFonts w:eastAsia="Calibri" w:cs="Calibri"/>
          <w:i/>
          <w:szCs w:val="20"/>
        </w:rPr>
        <w:t>mogen )</w:t>
      </w:r>
      <w:proofErr w:type="gramEnd"/>
      <w:r w:rsidRPr="00552BB2">
        <w:rPr>
          <w:rFonts w:eastAsia="Calibri" w:cs="Calibri"/>
          <w:i/>
          <w:szCs w:val="20"/>
        </w:rPr>
        <w:t xml:space="preserve"> horen”. Je maakt onderdeel uit van een samenleving.</w:t>
      </w:r>
    </w:p>
    <w:p w14:paraId="6035111C" w14:textId="77777777" w:rsidR="00F8734D" w:rsidRPr="00552BB2" w:rsidRDefault="00F8734D" w:rsidP="00F8734D">
      <w:pPr>
        <w:jc w:val="both"/>
        <w:rPr>
          <w:rFonts w:eastAsia="Calibri" w:cs="Calibri"/>
          <w:i/>
          <w:szCs w:val="20"/>
        </w:rPr>
      </w:pPr>
      <w:r w:rsidRPr="00552BB2">
        <w:rPr>
          <w:rFonts w:eastAsia="Calibri" w:cs="Calibri"/>
          <w:i/>
          <w:szCs w:val="20"/>
        </w:rPr>
        <w:t xml:space="preserve">C Laat leerlingen bij </w:t>
      </w:r>
      <w:proofErr w:type="gramStart"/>
      <w:r w:rsidRPr="00552BB2">
        <w:rPr>
          <w:rFonts w:eastAsia="Calibri" w:cs="Calibri"/>
          <w:i/>
          <w:szCs w:val="20"/>
        </w:rPr>
        <w:t>zich zelf</w:t>
      </w:r>
      <w:proofErr w:type="gramEnd"/>
      <w:r w:rsidRPr="00552BB2">
        <w:rPr>
          <w:rFonts w:eastAsia="Calibri" w:cs="Calibri"/>
          <w:i/>
          <w:szCs w:val="20"/>
        </w:rPr>
        <w:t xml:space="preserve"> onderzoeken wat de redenen zijn voor insluiting of uitsluiting</w:t>
      </w:r>
    </w:p>
    <w:p w14:paraId="6EDE5C13" w14:textId="77777777" w:rsidR="00F8734D" w:rsidRPr="00552BB2" w:rsidRDefault="00F8734D" w:rsidP="00F8734D">
      <w:pPr>
        <w:jc w:val="both"/>
        <w:rPr>
          <w:rFonts w:eastAsia="Calibri" w:cs="Calibri"/>
          <w:i/>
          <w:szCs w:val="20"/>
        </w:rPr>
      </w:pPr>
      <w:r w:rsidRPr="00552BB2">
        <w:rPr>
          <w:rFonts w:eastAsia="Calibri" w:cs="Calibri"/>
          <w:i/>
          <w:szCs w:val="20"/>
        </w:rPr>
        <w:t xml:space="preserve">D Laat leerlingen </w:t>
      </w:r>
      <w:r w:rsidRPr="00552BB2">
        <w:rPr>
          <w:rFonts w:eastAsia="Calibri" w:cs="Calibri"/>
          <w:i/>
          <w:iCs/>
          <w:szCs w:val="20"/>
        </w:rPr>
        <w:t xml:space="preserve">zelf </w:t>
      </w:r>
      <w:r w:rsidRPr="00552BB2">
        <w:rPr>
          <w:rFonts w:eastAsia="Calibri" w:cs="Calibri"/>
          <w:i/>
          <w:szCs w:val="20"/>
        </w:rPr>
        <w:t xml:space="preserve">een rollenspel bedenken als sociaal </w:t>
      </w:r>
      <w:proofErr w:type="gramStart"/>
      <w:r w:rsidRPr="00552BB2">
        <w:rPr>
          <w:rFonts w:eastAsia="Calibri" w:cs="Calibri"/>
          <w:i/>
          <w:szCs w:val="20"/>
        </w:rPr>
        <w:t xml:space="preserve">experiment </w:t>
      </w:r>
      <w:r w:rsidRPr="00552BB2">
        <w:rPr>
          <w:rFonts w:eastAsia="Calibri" w:cs="Calibri"/>
          <w:i/>
          <w:iCs/>
          <w:szCs w:val="20"/>
        </w:rPr>
        <w:t xml:space="preserve"> (</w:t>
      </w:r>
      <w:proofErr w:type="gramEnd"/>
      <w:r w:rsidRPr="00552BB2">
        <w:rPr>
          <w:rFonts w:eastAsia="Calibri" w:cs="Calibri"/>
          <w:i/>
          <w:iCs/>
          <w:szCs w:val="20"/>
        </w:rPr>
        <w:t xml:space="preserve">als zwerver, bedelaar, hangjongere) </w:t>
      </w:r>
      <w:r w:rsidRPr="00552BB2">
        <w:rPr>
          <w:rFonts w:eastAsia="Calibri" w:cs="Calibri"/>
          <w:i/>
          <w:szCs w:val="20"/>
        </w:rPr>
        <w:t>en laat ze dat uitvoeren</w:t>
      </w:r>
    </w:p>
    <w:p w14:paraId="637F3D3C" w14:textId="77777777" w:rsidR="00F8734D" w:rsidRPr="00552BB2" w:rsidRDefault="00F8734D" w:rsidP="00F8734D">
      <w:pPr>
        <w:jc w:val="both"/>
        <w:rPr>
          <w:rFonts w:eastAsia="Calibri" w:cs="Calibri"/>
          <w:i/>
          <w:szCs w:val="20"/>
        </w:rPr>
      </w:pPr>
      <w:r w:rsidRPr="00552BB2">
        <w:rPr>
          <w:rFonts w:eastAsia="Calibri" w:cs="Calibri"/>
          <w:i/>
          <w:szCs w:val="20"/>
        </w:rPr>
        <w:t>E Evalueer de resultaten van het experiment en laat leerlingen beschrijven wat ze hebben ervaren of wat voor reacties ze hebben gekregen van eventuele omstanders</w:t>
      </w:r>
    </w:p>
    <w:p w14:paraId="235D1C36" w14:textId="77777777" w:rsidR="00F8734D" w:rsidRPr="00552BB2" w:rsidRDefault="00F8734D" w:rsidP="00F8734D">
      <w:pPr>
        <w:jc w:val="both"/>
        <w:rPr>
          <w:rFonts w:eastAsia="Calibri" w:cs="Calibri"/>
          <w:i/>
          <w:szCs w:val="20"/>
        </w:rPr>
      </w:pPr>
      <w:r w:rsidRPr="00552BB2">
        <w:rPr>
          <w:rFonts w:eastAsia="Calibri" w:cs="Calibri"/>
          <w:i/>
          <w:szCs w:val="20"/>
        </w:rPr>
        <w:t xml:space="preserve">F Focus op naastenliefde en wat ze daarvan hebben ervaren. Laat hen bedenken wat zij kunnen doen in de komende weken voor </w:t>
      </w:r>
      <w:r w:rsidRPr="00552BB2">
        <w:rPr>
          <w:rFonts w:eastAsia="Calibri" w:cs="Calibri"/>
          <w:i/>
          <w:iCs/>
          <w:szCs w:val="20"/>
        </w:rPr>
        <w:t>een</w:t>
      </w:r>
      <w:r w:rsidRPr="00552BB2">
        <w:rPr>
          <w:rFonts w:eastAsia="Calibri" w:cs="Calibri"/>
          <w:i/>
          <w:szCs w:val="20"/>
        </w:rPr>
        <w:t xml:space="preserve"> dichtbije en</w:t>
      </w:r>
      <w:r w:rsidRPr="00552BB2">
        <w:rPr>
          <w:rFonts w:eastAsia="Calibri" w:cs="Calibri"/>
          <w:i/>
          <w:iCs/>
          <w:szCs w:val="20"/>
        </w:rPr>
        <w:t>/of</w:t>
      </w:r>
      <w:r w:rsidRPr="00552BB2">
        <w:rPr>
          <w:rFonts w:eastAsia="Calibri" w:cs="Calibri"/>
          <w:i/>
          <w:szCs w:val="20"/>
        </w:rPr>
        <w:t xml:space="preserve"> verre naaste</w:t>
      </w:r>
      <w:r w:rsidRPr="00552BB2">
        <w:rPr>
          <w:rFonts w:eastAsia="Calibri" w:cs="Calibri"/>
          <w:i/>
          <w:iCs/>
          <w:szCs w:val="20"/>
        </w:rPr>
        <w:t>.</w:t>
      </w:r>
    </w:p>
    <w:p w14:paraId="46100F4B" w14:textId="77777777" w:rsidR="00F8734D" w:rsidRPr="00552BB2" w:rsidRDefault="00F8734D" w:rsidP="00F8734D">
      <w:pPr>
        <w:jc w:val="both"/>
        <w:rPr>
          <w:rFonts w:eastAsia="Calibri" w:cs="Calibri"/>
          <w:i/>
          <w:szCs w:val="20"/>
        </w:rPr>
      </w:pPr>
      <w:proofErr w:type="gramStart"/>
      <w:r w:rsidRPr="00552BB2">
        <w:rPr>
          <w:rFonts w:eastAsia="Calibri" w:cs="Calibri"/>
          <w:i/>
          <w:szCs w:val="20"/>
        </w:rPr>
        <w:t>G  Wat</w:t>
      </w:r>
      <w:proofErr w:type="gramEnd"/>
      <w:r w:rsidRPr="00552BB2">
        <w:rPr>
          <w:rFonts w:eastAsia="Calibri" w:cs="Calibri"/>
          <w:i/>
          <w:szCs w:val="20"/>
        </w:rPr>
        <w:t xml:space="preserve"> zou je als christen de verticale dimensie noemen? Wat is de bron waar je uit put om oprechte </w:t>
      </w:r>
      <w:proofErr w:type="gramStart"/>
      <w:r w:rsidRPr="00552BB2">
        <w:rPr>
          <w:rFonts w:eastAsia="Calibri" w:cs="Calibri"/>
          <w:i/>
          <w:szCs w:val="20"/>
        </w:rPr>
        <w:t>naastenliefde  in</w:t>
      </w:r>
      <w:proofErr w:type="gramEnd"/>
      <w:r w:rsidRPr="00552BB2">
        <w:rPr>
          <w:rFonts w:eastAsia="Calibri" w:cs="Calibri"/>
          <w:i/>
          <w:szCs w:val="20"/>
        </w:rPr>
        <w:t xml:space="preserve"> praktijk te brengen?  Wat houdt dat in als je nadenkt over een inclusieve samenleving.</w:t>
      </w:r>
    </w:p>
    <w:p w14:paraId="1789E168" w14:textId="77777777" w:rsidR="00F8734D" w:rsidRPr="00552BB2" w:rsidRDefault="00F8734D" w:rsidP="00F8734D">
      <w:pPr>
        <w:jc w:val="both"/>
        <w:rPr>
          <w:szCs w:val="20"/>
        </w:rPr>
      </w:pPr>
    </w:p>
    <w:p w14:paraId="1F990091" w14:textId="77777777" w:rsidR="00F8734D" w:rsidRDefault="00F8734D" w:rsidP="00F8734D">
      <w:pPr>
        <w:rPr>
          <w:rFonts w:asciiTheme="majorHAnsi" w:eastAsiaTheme="majorEastAsia" w:hAnsiTheme="majorHAnsi" w:cstheme="majorBidi"/>
          <w:color w:val="0F4761" w:themeColor="accent1" w:themeShade="BF"/>
          <w:sz w:val="26"/>
          <w:szCs w:val="26"/>
        </w:rPr>
      </w:pPr>
      <w:r>
        <w:br w:type="page"/>
      </w:r>
    </w:p>
    <w:p w14:paraId="4BB76D7A" w14:textId="77777777" w:rsidR="00F8734D" w:rsidRDefault="00F8734D" w:rsidP="00F8734D">
      <w:pPr>
        <w:pStyle w:val="Kop2"/>
        <w:jc w:val="both"/>
      </w:pPr>
      <w:bookmarkStart w:id="2" w:name="_Toc168738326"/>
      <w:r>
        <w:lastRenderedPageBreak/>
        <w:t>Kernnoties</w:t>
      </w:r>
      <w:bookmarkEnd w:id="2"/>
    </w:p>
    <w:p w14:paraId="56EFC101" w14:textId="77777777" w:rsidR="00F8734D" w:rsidRDefault="00F8734D" w:rsidP="00F8734D">
      <w:pPr>
        <w:jc w:val="both"/>
      </w:pPr>
    </w:p>
    <w:p w14:paraId="46CC1B7B" w14:textId="77777777" w:rsidR="00F8734D" w:rsidRDefault="00F8734D" w:rsidP="00F8734D">
      <w:pPr>
        <w:jc w:val="both"/>
      </w:pPr>
      <w:r>
        <w:t>Gehoorzaamheid en lijden</w:t>
      </w:r>
    </w:p>
    <w:p w14:paraId="1F47088A" w14:textId="77777777" w:rsidR="00F8734D" w:rsidRPr="00BC1B0C" w:rsidRDefault="00F8734D" w:rsidP="00F8734D">
      <w:pPr>
        <w:jc w:val="both"/>
      </w:pPr>
      <w:r>
        <w:t>Vanuit het thema christelijk</w:t>
      </w:r>
      <w:r w:rsidRPr="58001BA9">
        <w:rPr>
          <w:b/>
          <w:bCs/>
        </w:rPr>
        <w:t xml:space="preserve"> burgerschap i</w:t>
      </w:r>
      <w:r>
        <w:t xml:space="preserve">s dit onderwerp zeer actueel. Het maakt ons er bewust van dat we voorbijgangers/pelgrims zijn op deze aarde. </w:t>
      </w:r>
      <w:r w:rsidRPr="01A2EFA1">
        <w:t>(Fil 3;20)</w:t>
      </w:r>
      <w:r>
        <w:t xml:space="preserve"> De vraag die we onze leerlingen zouden moeten stellen is: Hoe gedragen we ons als christen in de maatschappij? De wereld gebruikende als niet misbruikende, op weg naar de hemel en hoe dat dan gestalte krijgt. Het is goed om met elkaar na te denken over onze rol in die maatschappij. Denk samen na over de gedachte: Als christenen er niet zouden zijn dan......... Dit heeft ook invloed op de keuze voor een woonplaats. Ga je in een stad wonen waar relatief weinig christenen zijn of in een christelijk dorp. Ga je in een achterstandsbuurt wonen of in een goede middenstandsbuurt. Heeft God iets te zeggen over de keuzes? De Bijbelse opdracht om God lief te hebben boven alles en onze naaste als ons zelf, moet als het goed is onze plaats in de maatschappij bepalen. De naaste ver weg en dichtbij dient te worden gezien als medeschepsel ‘van gelijke beweging’ als ons zelf. </w:t>
      </w:r>
      <w:r w:rsidRPr="01A2EFA1">
        <w:t>Het onderwijs wat de Heere geeft over het niet oordelen in combinatie met de splinter en de balk is reden genoeg om ons niet beter/meer te achten dan de ander.</w:t>
      </w:r>
    </w:p>
    <w:p w14:paraId="031F5B39" w14:textId="77777777" w:rsidR="00F8734D" w:rsidRDefault="00F8734D" w:rsidP="00F8734D">
      <w:pPr>
        <w:jc w:val="both"/>
      </w:pPr>
    </w:p>
    <w:p w14:paraId="64FB38F3" w14:textId="77777777" w:rsidR="00F8734D" w:rsidRDefault="00F8734D" w:rsidP="00F8734D">
      <w:pPr>
        <w:jc w:val="both"/>
      </w:pPr>
      <w:r>
        <w:t xml:space="preserve">Vanuit het thema </w:t>
      </w:r>
      <w:r w:rsidRPr="01A2EFA1">
        <w:rPr>
          <w:b/>
        </w:rPr>
        <w:t>persoonlijkheidsvorming</w:t>
      </w:r>
      <w:r>
        <w:t xml:space="preserve"> is dit onderwerp ook van belang.</w:t>
      </w:r>
    </w:p>
    <w:p w14:paraId="14C4B8AB" w14:textId="77777777" w:rsidR="00F8734D" w:rsidRDefault="00F8734D" w:rsidP="00F8734D">
      <w:pPr>
        <w:jc w:val="both"/>
      </w:pPr>
      <w:r>
        <w:t>De ontwikkeling van de eigenheid is nooit los te koppelen van de opvoeding en de relatie tot de naaste. Identificatiefiguren zijn onmisbaar als het gaat om navolging. Maar ook voorbeelden van hoe je niet zou willen zijn of worden zijn van belang.</w:t>
      </w:r>
    </w:p>
    <w:p w14:paraId="59ED424D" w14:textId="77777777" w:rsidR="00F8734D" w:rsidRPr="00D04E0B" w:rsidRDefault="00F8734D" w:rsidP="00F8734D">
      <w:pPr>
        <w:jc w:val="both"/>
        <w:rPr>
          <w:szCs w:val="20"/>
        </w:rPr>
      </w:pPr>
      <w:r>
        <w:t xml:space="preserve">Door te leren van anderen en voorbeelden na te volgen leren we sociaal gedrag en ons te bewegen </w:t>
      </w:r>
      <w:r w:rsidRPr="00D04E0B">
        <w:rPr>
          <w:szCs w:val="20"/>
        </w:rPr>
        <w:t>in kleinere en grotere groepen en kunnen dan ook diepere relaties aangaan.</w:t>
      </w:r>
    </w:p>
    <w:p w14:paraId="7E155711" w14:textId="77777777" w:rsidR="00F8734D" w:rsidRPr="00D04E0B" w:rsidRDefault="00F8734D" w:rsidP="00F8734D">
      <w:pPr>
        <w:jc w:val="both"/>
        <w:rPr>
          <w:rFonts w:eastAsia="Verdana" w:cs="Verdana"/>
          <w:szCs w:val="20"/>
        </w:rPr>
      </w:pPr>
      <w:r w:rsidRPr="00D04E0B">
        <w:rPr>
          <w:szCs w:val="20"/>
        </w:rPr>
        <w:t xml:space="preserve">Vertrouwen geven en vertrouwen krijgen zijn hierbij cruciaal. </w:t>
      </w:r>
    </w:p>
    <w:p w14:paraId="13BA11E0" w14:textId="77777777" w:rsidR="00F8734D" w:rsidRPr="008F6AF6" w:rsidRDefault="00F8734D" w:rsidP="00F8734D">
      <w:pPr>
        <w:jc w:val="both"/>
        <w:rPr>
          <w:color w:val="000000" w:themeColor="text1"/>
          <w:szCs w:val="20"/>
        </w:rPr>
      </w:pPr>
    </w:p>
    <w:p w14:paraId="644C8B06" w14:textId="77777777" w:rsidR="00F8734D" w:rsidRDefault="00F8734D" w:rsidP="00F8734D">
      <w:pPr>
        <w:jc w:val="both"/>
        <w:rPr>
          <w:rFonts w:eastAsia="Verdana" w:cs="Verdana"/>
        </w:rPr>
      </w:pPr>
      <w:r w:rsidRPr="008F6AF6">
        <w:rPr>
          <w:rFonts w:eastAsia="Calibri" w:cs="Calibri"/>
          <w:color w:val="000000" w:themeColor="text1"/>
          <w:szCs w:val="20"/>
        </w:rPr>
        <w:t xml:space="preserve">"Wie zich in een meerderheidspositie bevindt, realiseert zich vaak niet hoe het is om tot een minderheid te behoren." </w:t>
      </w:r>
      <w:r w:rsidRPr="00D04E0B">
        <w:rPr>
          <w:rFonts w:eastAsia="Verdana" w:cs="Verdana"/>
          <w:szCs w:val="20"/>
        </w:rPr>
        <w:t>Als derde notie is het van belang om te leren dat binnen het veilige opvoedingsklimaat van thuis en school er een samenleving om ons heen is waarin we worden geroepen</w:t>
      </w:r>
      <w:r w:rsidRPr="58001BA9">
        <w:rPr>
          <w:rFonts w:eastAsia="Verdana" w:cs="Verdana"/>
        </w:rPr>
        <w:t xml:space="preserve"> om duidelijk te maken waar we voor staan en wat ons drijft en wat die samenleving van ons mag verwachten als het gaat om betrouwbaarheid, eerlijkheid, ijver en accuratesse. We hebben een opdracht meegekregen om een licht en een zout te zijn. Anderzijds kunnen we ook leren van anderen. Ook wij kunnen vastzitten in verkeerde overtuigingen. Daarom is contact met andere groepen wederkerig en komen we niet alleen iets brengen, maar kunnen we vaak ook iets halen. </w:t>
      </w:r>
    </w:p>
    <w:p w14:paraId="677E5E69" w14:textId="77777777" w:rsidR="00F8734D" w:rsidRDefault="00F8734D" w:rsidP="00F8734D">
      <w:pPr>
        <w:jc w:val="both"/>
      </w:pPr>
    </w:p>
    <w:p w14:paraId="75F8DE4C" w14:textId="77777777" w:rsidR="00F8734D" w:rsidRDefault="00F8734D" w:rsidP="00F8734D">
      <w:pPr>
        <w:pStyle w:val="Kop2"/>
        <w:jc w:val="both"/>
        <w:rPr>
          <w:i/>
          <w:iCs/>
        </w:rPr>
      </w:pPr>
      <w:bookmarkStart w:id="3" w:name="_Toc168738327"/>
      <w:r>
        <w:t>Gesprekspunten vakgroep</w:t>
      </w:r>
      <w:bookmarkEnd w:id="3"/>
    </w:p>
    <w:p w14:paraId="677508FC" w14:textId="77777777" w:rsidR="00F8734D" w:rsidRPr="00125C09" w:rsidRDefault="00F8734D" w:rsidP="00F8734D">
      <w:pPr>
        <w:pStyle w:val="Lijstalinea"/>
        <w:numPr>
          <w:ilvl w:val="0"/>
          <w:numId w:val="1"/>
        </w:numPr>
        <w:jc w:val="both"/>
        <w:rPr>
          <w:szCs w:val="20"/>
        </w:rPr>
      </w:pPr>
      <w:r>
        <w:t xml:space="preserve">Hoe past deze les in christelijk burgerschap en persoonlijke vorming en wat is daar verder </w:t>
      </w:r>
      <w:r w:rsidRPr="00125C09">
        <w:rPr>
          <w:szCs w:val="20"/>
        </w:rPr>
        <w:t>bij nodig?</w:t>
      </w:r>
    </w:p>
    <w:p w14:paraId="0FE6A3A9" w14:textId="77777777" w:rsidR="00F8734D" w:rsidRPr="00125C09" w:rsidRDefault="00F8734D" w:rsidP="00F8734D">
      <w:pPr>
        <w:pStyle w:val="Lijstalinea"/>
        <w:numPr>
          <w:ilvl w:val="0"/>
          <w:numId w:val="1"/>
        </w:numPr>
        <w:jc w:val="both"/>
        <w:rPr>
          <w:szCs w:val="20"/>
        </w:rPr>
      </w:pPr>
      <w:r w:rsidRPr="00125C09">
        <w:rPr>
          <w:szCs w:val="20"/>
        </w:rPr>
        <w:t>Welke paradigma's zien we in de christelijke wereld die niet overeenstemmen met het Woord van God</w:t>
      </w:r>
    </w:p>
    <w:p w14:paraId="1E214464" w14:textId="77777777" w:rsidR="00F8734D" w:rsidRPr="00372EAA" w:rsidRDefault="00F8734D" w:rsidP="00F8734D">
      <w:pPr>
        <w:pStyle w:val="Lijstalinea"/>
        <w:numPr>
          <w:ilvl w:val="0"/>
          <w:numId w:val="1"/>
        </w:numPr>
        <w:jc w:val="both"/>
        <w:rPr>
          <w:szCs w:val="20"/>
        </w:rPr>
      </w:pPr>
      <w:r w:rsidRPr="00125C09">
        <w:rPr>
          <w:rFonts w:eastAsia="Segoe UI" w:cs="Segoe UI"/>
          <w:color w:val="333333"/>
          <w:szCs w:val="20"/>
        </w:rPr>
        <w:t>Gezin als hoeksteen?</w:t>
      </w:r>
    </w:p>
    <w:p w14:paraId="7D497A6E" w14:textId="77777777" w:rsidR="00F8734D" w:rsidRPr="00125C09" w:rsidRDefault="00F8734D" w:rsidP="00F8734D">
      <w:pPr>
        <w:pStyle w:val="Lijstalinea"/>
        <w:jc w:val="both"/>
        <w:rPr>
          <w:szCs w:val="20"/>
        </w:rPr>
      </w:pPr>
      <w:hyperlink r:id="rId6" w:history="1">
        <w:r w:rsidRPr="00125C09">
          <w:rPr>
            <w:rStyle w:val="Hyperlink"/>
            <w:rFonts w:eastAsia="Segoe UI" w:cs="Segoe UI"/>
            <w:szCs w:val="20"/>
          </w:rPr>
          <w:t>https://open.spotify.com/episode/2S7dvgTErDdZjEnGflmZ21?si=917aee2e96274f9b</w:t>
        </w:r>
      </w:hyperlink>
      <w:r w:rsidRPr="00125C09">
        <w:rPr>
          <w:rFonts w:eastAsia="Segoe UI" w:cs="Segoe UI"/>
          <w:color w:val="333333"/>
          <w:szCs w:val="20"/>
        </w:rPr>
        <w:t xml:space="preserve"> </w:t>
      </w:r>
    </w:p>
    <w:p w14:paraId="06EAC075" w14:textId="77777777" w:rsidR="00F8734D" w:rsidRPr="00125C09" w:rsidRDefault="00F8734D" w:rsidP="00F8734D">
      <w:pPr>
        <w:pStyle w:val="Lijstalinea"/>
        <w:numPr>
          <w:ilvl w:val="0"/>
          <w:numId w:val="1"/>
        </w:numPr>
        <w:jc w:val="both"/>
        <w:rPr>
          <w:rFonts w:eastAsia="Segoe UI" w:cs="Segoe UI"/>
          <w:color w:val="333333"/>
          <w:szCs w:val="20"/>
        </w:rPr>
      </w:pPr>
      <w:r w:rsidRPr="00125C09">
        <w:rPr>
          <w:rFonts w:eastAsia="Segoe UI" w:cs="Segoe UI"/>
          <w:color w:val="333333"/>
          <w:szCs w:val="20"/>
        </w:rPr>
        <w:t>Wie waren onze identificatiefiguren? Wat maakte hen dat? Kunnen wij als docenten dat ook zijn?</w:t>
      </w:r>
    </w:p>
    <w:p w14:paraId="76E5EA98" w14:textId="77777777" w:rsidR="00F8734D" w:rsidRPr="00125C09" w:rsidRDefault="00F8734D" w:rsidP="00F8734D">
      <w:pPr>
        <w:pStyle w:val="Lijstalinea"/>
        <w:numPr>
          <w:ilvl w:val="0"/>
          <w:numId w:val="1"/>
        </w:numPr>
        <w:jc w:val="both"/>
        <w:rPr>
          <w:rFonts w:eastAsia="Segoe UI" w:cs="Segoe UI"/>
          <w:color w:val="333333"/>
          <w:szCs w:val="20"/>
        </w:rPr>
      </w:pPr>
      <w:r w:rsidRPr="06DA64DE">
        <w:rPr>
          <w:rFonts w:eastAsia="Segoe UI" w:cs="Segoe UI"/>
          <w:color w:val="333333"/>
        </w:rPr>
        <w:t>Stelling: het is soms beter om vragen te stellen dan om antwoorden te geven. De reis is minstens zo belangrijk als het reisdoel.</w:t>
      </w:r>
    </w:p>
    <w:p w14:paraId="6D65BBDB" w14:textId="77777777" w:rsidR="00F8734D" w:rsidRDefault="00F8734D" w:rsidP="00F8734D">
      <w:pPr>
        <w:jc w:val="both"/>
      </w:pPr>
    </w:p>
    <w:p w14:paraId="72E4BD76" w14:textId="77777777" w:rsidR="00F8734D" w:rsidRDefault="00F8734D" w:rsidP="00F8734D">
      <w:pPr>
        <w:pStyle w:val="Kop2"/>
        <w:jc w:val="both"/>
      </w:pPr>
      <w:bookmarkStart w:id="4" w:name="_Toc168738328"/>
      <w:r>
        <w:t>Achtergrondinformatie en algemene suggesties</w:t>
      </w:r>
      <w:bookmarkEnd w:id="4"/>
    </w:p>
    <w:p w14:paraId="4C455047" w14:textId="77777777" w:rsidR="00F8734D" w:rsidRDefault="00F8734D" w:rsidP="00F8734D">
      <w:pPr>
        <w:jc w:val="both"/>
      </w:pPr>
    </w:p>
    <w:p w14:paraId="1A2589BD" w14:textId="77777777" w:rsidR="00F8734D" w:rsidRDefault="00F8734D" w:rsidP="00F8734D">
      <w:pPr>
        <w:pStyle w:val="Lijstalinea"/>
        <w:numPr>
          <w:ilvl w:val="0"/>
          <w:numId w:val="2"/>
        </w:numPr>
        <w:jc w:val="both"/>
      </w:pPr>
      <w:r w:rsidRPr="009F1A59">
        <w:t>De dagopeningen van de B</w:t>
      </w:r>
      <w:r>
        <w:t>MU sluiten soms goed aan.</w:t>
      </w:r>
    </w:p>
    <w:p w14:paraId="2D21D840" w14:textId="77777777" w:rsidR="00F8734D" w:rsidRPr="00372EAA" w:rsidRDefault="00F8734D" w:rsidP="00F8734D">
      <w:pPr>
        <w:pStyle w:val="Lijstalinea"/>
        <w:numPr>
          <w:ilvl w:val="0"/>
          <w:numId w:val="2"/>
        </w:numPr>
        <w:jc w:val="both"/>
        <w:rPr>
          <w:szCs w:val="20"/>
        </w:rPr>
      </w:pPr>
      <w:r w:rsidRPr="00372EAA">
        <w:rPr>
          <w:szCs w:val="20"/>
        </w:rPr>
        <w:t xml:space="preserve">Opmerkelijke podcast in dit verband: </w:t>
      </w:r>
    </w:p>
    <w:p w14:paraId="2272E196" w14:textId="74DDF125" w:rsidR="009E240C" w:rsidRDefault="00F8734D" w:rsidP="00F8734D">
      <w:pPr>
        <w:jc w:val="both"/>
      </w:pPr>
      <w:r>
        <w:lastRenderedPageBreak/>
        <w:t xml:space="preserve"> </w:t>
      </w:r>
      <w:hyperlink r:id="rId7">
        <w:r w:rsidRPr="47616046">
          <w:rPr>
            <w:rStyle w:val="Hyperlink"/>
            <w:rFonts w:eastAsia="Segoe UI" w:cs="Segoe UI"/>
          </w:rPr>
          <w:t>https://open.spotify.com/episode/2S7dvgTErDdZjEnGflmZ21?si=917aee2e96274f9b</w:t>
        </w:r>
      </w:hyperlink>
    </w:p>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33FE0"/>
    <w:multiLevelType w:val="hybridMultilevel"/>
    <w:tmpl w:val="FC4A2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F6D6C2"/>
    <w:multiLevelType w:val="hybridMultilevel"/>
    <w:tmpl w:val="3A0C4206"/>
    <w:lvl w:ilvl="0" w:tplc="4EF2FCC4">
      <w:start w:val="1"/>
      <w:numFmt w:val="bullet"/>
      <w:lvlText w:val=""/>
      <w:lvlJc w:val="left"/>
      <w:pPr>
        <w:ind w:left="720" w:hanging="360"/>
      </w:pPr>
      <w:rPr>
        <w:rFonts w:ascii="Symbol" w:hAnsi="Symbol" w:hint="default"/>
      </w:rPr>
    </w:lvl>
    <w:lvl w:ilvl="1" w:tplc="AE3CB21C">
      <w:start w:val="1"/>
      <w:numFmt w:val="bullet"/>
      <w:lvlText w:val="o"/>
      <w:lvlJc w:val="left"/>
      <w:pPr>
        <w:ind w:left="1440" w:hanging="360"/>
      </w:pPr>
      <w:rPr>
        <w:rFonts w:ascii="Courier New" w:hAnsi="Courier New" w:hint="default"/>
      </w:rPr>
    </w:lvl>
    <w:lvl w:ilvl="2" w:tplc="7C7AF1E8">
      <w:start w:val="1"/>
      <w:numFmt w:val="bullet"/>
      <w:lvlText w:val=""/>
      <w:lvlJc w:val="left"/>
      <w:pPr>
        <w:ind w:left="2160" w:hanging="360"/>
      </w:pPr>
      <w:rPr>
        <w:rFonts w:ascii="Wingdings" w:hAnsi="Wingdings" w:hint="default"/>
      </w:rPr>
    </w:lvl>
    <w:lvl w:ilvl="3" w:tplc="E5B4BD16">
      <w:start w:val="1"/>
      <w:numFmt w:val="bullet"/>
      <w:lvlText w:val=""/>
      <w:lvlJc w:val="left"/>
      <w:pPr>
        <w:ind w:left="2880" w:hanging="360"/>
      </w:pPr>
      <w:rPr>
        <w:rFonts w:ascii="Symbol" w:hAnsi="Symbol" w:hint="default"/>
      </w:rPr>
    </w:lvl>
    <w:lvl w:ilvl="4" w:tplc="9B5A7BE0">
      <w:start w:val="1"/>
      <w:numFmt w:val="bullet"/>
      <w:lvlText w:val="o"/>
      <w:lvlJc w:val="left"/>
      <w:pPr>
        <w:ind w:left="3600" w:hanging="360"/>
      </w:pPr>
      <w:rPr>
        <w:rFonts w:ascii="Courier New" w:hAnsi="Courier New" w:hint="default"/>
      </w:rPr>
    </w:lvl>
    <w:lvl w:ilvl="5" w:tplc="9FE48F96">
      <w:start w:val="1"/>
      <w:numFmt w:val="bullet"/>
      <w:lvlText w:val=""/>
      <w:lvlJc w:val="left"/>
      <w:pPr>
        <w:ind w:left="4320" w:hanging="360"/>
      </w:pPr>
      <w:rPr>
        <w:rFonts w:ascii="Wingdings" w:hAnsi="Wingdings" w:hint="default"/>
      </w:rPr>
    </w:lvl>
    <w:lvl w:ilvl="6" w:tplc="EBB073A8">
      <w:start w:val="1"/>
      <w:numFmt w:val="bullet"/>
      <w:lvlText w:val=""/>
      <w:lvlJc w:val="left"/>
      <w:pPr>
        <w:ind w:left="5040" w:hanging="360"/>
      </w:pPr>
      <w:rPr>
        <w:rFonts w:ascii="Symbol" w:hAnsi="Symbol" w:hint="default"/>
      </w:rPr>
    </w:lvl>
    <w:lvl w:ilvl="7" w:tplc="8C4E01A4">
      <w:start w:val="1"/>
      <w:numFmt w:val="bullet"/>
      <w:lvlText w:val="o"/>
      <w:lvlJc w:val="left"/>
      <w:pPr>
        <w:ind w:left="5760" w:hanging="360"/>
      </w:pPr>
      <w:rPr>
        <w:rFonts w:ascii="Courier New" w:hAnsi="Courier New" w:hint="default"/>
      </w:rPr>
    </w:lvl>
    <w:lvl w:ilvl="8" w:tplc="66A670DE">
      <w:start w:val="1"/>
      <w:numFmt w:val="bullet"/>
      <w:lvlText w:val=""/>
      <w:lvlJc w:val="left"/>
      <w:pPr>
        <w:ind w:left="6480" w:hanging="360"/>
      </w:pPr>
      <w:rPr>
        <w:rFonts w:ascii="Wingdings" w:hAnsi="Wingdings" w:hint="default"/>
      </w:rPr>
    </w:lvl>
  </w:abstractNum>
  <w:num w:numId="1" w16cid:durableId="1094207685">
    <w:abstractNumId w:val="1"/>
  </w:num>
  <w:num w:numId="2" w16cid:durableId="164503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4D"/>
    <w:rsid w:val="00163B1B"/>
    <w:rsid w:val="0073174A"/>
    <w:rsid w:val="008D77C8"/>
    <w:rsid w:val="009E240C"/>
    <w:rsid w:val="00A63FD8"/>
    <w:rsid w:val="00EA071C"/>
    <w:rsid w:val="00F87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5C"/>
  <w15:chartTrackingRefBased/>
  <w15:docId w15:val="{8C1286AF-FD20-4DB2-A1A7-839989F6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34D"/>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F87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87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73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73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73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734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734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734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734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3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873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73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73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73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73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73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73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734D"/>
    <w:rPr>
      <w:rFonts w:eastAsiaTheme="majorEastAsia" w:cstheme="majorBidi"/>
      <w:color w:val="272727" w:themeColor="text1" w:themeTint="D8"/>
    </w:rPr>
  </w:style>
  <w:style w:type="paragraph" w:styleId="Titel">
    <w:name w:val="Title"/>
    <w:basedOn w:val="Standaard"/>
    <w:next w:val="Standaard"/>
    <w:link w:val="TitelChar"/>
    <w:uiPriority w:val="10"/>
    <w:qFormat/>
    <w:rsid w:val="00F8734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3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73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73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73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734D"/>
    <w:rPr>
      <w:i/>
      <w:iCs/>
      <w:color w:val="404040" w:themeColor="text1" w:themeTint="BF"/>
    </w:rPr>
  </w:style>
  <w:style w:type="paragraph" w:styleId="Lijstalinea">
    <w:name w:val="List Paragraph"/>
    <w:basedOn w:val="Standaard"/>
    <w:uiPriority w:val="34"/>
    <w:qFormat/>
    <w:rsid w:val="00F8734D"/>
    <w:pPr>
      <w:ind w:left="720"/>
      <w:contextualSpacing/>
    </w:pPr>
  </w:style>
  <w:style w:type="character" w:styleId="Intensievebenadrukking">
    <w:name w:val="Intense Emphasis"/>
    <w:basedOn w:val="Standaardalinea-lettertype"/>
    <w:uiPriority w:val="21"/>
    <w:qFormat/>
    <w:rsid w:val="00F8734D"/>
    <w:rPr>
      <w:i/>
      <w:iCs/>
      <w:color w:val="0F4761" w:themeColor="accent1" w:themeShade="BF"/>
    </w:rPr>
  </w:style>
  <w:style w:type="paragraph" w:styleId="Duidelijkcitaat">
    <w:name w:val="Intense Quote"/>
    <w:basedOn w:val="Standaard"/>
    <w:next w:val="Standaard"/>
    <w:link w:val="DuidelijkcitaatChar"/>
    <w:uiPriority w:val="30"/>
    <w:qFormat/>
    <w:rsid w:val="00F87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734D"/>
    <w:rPr>
      <w:i/>
      <w:iCs/>
      <w:color w:val="0F4761" w:themeColor="accent1" w:themeShade="BF"/>
    </w:rPr>
  </w:style>
  <w:style w:type="character" w:styleId="Intensieveverwijzing">
    <w:name w:val="Intense Reference"/>
    <w:basedOn w:val="Standaardalinea-lettertype"/>
    <w:uiPriority w:val="32"/>
    <w:qFormat/>
    <w:rsid w:val="00F8734D"/>
    <w:rPr>
      <w:b/>
      <w:bCs/>
      <w:smallCaps/>
      <w:color w:val="0F4761" w:themeColor="accent1" w:themeShade="BF"/>
      <w:spacing w:val="5"/>
    </w:rPr>
  </w:style>
  <w:style w:type="character" w:styleId="Hyperlink">
    <w:name w:val="Hyperlink"/>
    <w:basedOn w:val="Standaardalinea-lettertype"/>
    <w:uiPriority w:val="99"/>
    <w:unhideWhenUsed/>
    <w:rsid w:val="00F873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potify.com/episode/2S7dvgTErDdZjEnGflmZ21?si=917aee2e96274f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potify.com/episode/2S7dvgTErDdZjEnGflmZ21?si=917aee2e96274f9b" TargetMode="External"/><Relationship Id="rId5" Type="http://schemas.openxmlformats.org/officeDocument/2006/relationships/hyperlink" Target="https://nos.nl/nieuwsuur/artikel/2318615-geef-daklozen-geen-geld-maar-behandel-ze-als-mens-zegt-deze-ex-dakloz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5663</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2024-06-18T19:11:00Z</dcterms:created>
  <dcterms:modified xsi:type="dcterms:W3CDTF">2024-06-18T19:13:00Z</dcterms:modified>
</cp:coreProperties>
</file>