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BF2CA" w14:textId="77777777" w:rsidR="001726C9" w:rsidRDefault="001726C9" w:rsidP="001726C9">
      <w:pPr>
        <w:pStyle w:val="Kop3"/>
        <w:jc w:val="both"/>
      </w:pPr>
      <w:bookmarkStart w:id="0" w:name="_Toc168738350"/>
      <w:r w:rsidRPr="26F8BF3C">
        <w:t>Les 2</w:t>
      </w:r>
      <w:r>
        <w:t>.</w:t>
      </w:r>
      <w:r w:rsidRPr="26F8BF3C">
        <w:t xml:space="preserve"> </w:t>
      </w:r>
      <w:r>
        <w:t>E</w:t>
      </w:r>
      <w:r w:rsidRPr="26F8BF3C">
        <w:t>rosie en verwering</w:t>
      </w:r>
      <w:bookmarkEnd w:id="0"/>
    </w:p>
    <w:p w14:paraId="5FBDF8D0" w14:textId="77777777" w:rsidR="001726C9" w:rsidRDefault="001726C9" w:rsidP="001726C9">
      <w:pPr>
        <w:jc w:val="both"/>
      </w:pPr>
      <w:r w:rsidRPr="26F8BF3C">
        <w:rPr>
          <w:rFonts w:eastAsia="Verdana" w:cs="Verdana"/>
          <w:szCs w:val="20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898"/>
        <w:gridCol w:w="1897"/>
        <w:gridCol w:w="1898"/>
        <w:gridCol w:w="1898"/>
      </w:tblGrid>
      <w:tr w:rsidR="001726C9" w14:paraId="470346E0" w14:textId="77777777" w:rsidTr="00913AD0">
        <w:trPr>
          <w:trHeight w:val="300"/>
        </w:trPr>
        <w:tc>
          <w:tcPr>
            <w:tcW w:w="1897" w:type="dxa"/>
            <w:shd w:val="clear" w:color="auto" w:fill="E8E8E8" w:themeFill="background2"/>
          </w:tcPr>
          <w:p w14:paraId="15FF1DB4" w14:textId="77777777" w:rsidR="001726C9" w:rsidRPr="00117F42" w:rsidRDefault="001726C9" w:rsidP="00913AD0">
            <w:pPr>
              <w:jc w:val="center"/>
              <w:rPr>
                <w:szCs w:val="20"/>
              </w:rPr>
            </w:pPr>
            <w:proofErr w:type="spellStart"/>
            <w:r w:rsidRPr="00117F42">
              <w:rPr>
                <w:rFonts w:eastAsia="Verdana" w:cs="Verdana"/>
                <w:szCs w:val="20"/>
                <w:lang w:val="en-GB"/>
              </w:rPr>
              <w:t>Aardrijkskunde</w:t>
            </w:r>
            <w:proofErr w:type="spellEnd"/>
          </w:p>
        </w:tc>
        <w:tc>
          <w:tcPr>
            <w:tcW w:w="1898" w:type="dxa"/>
            <w:shd w:val="clear" w:color="auto" w:fill="E8E8E8" w:themeFill="background2"/>
          </w:tcPr>
          <w:p w14:paraId="77234992" w14:textId="77777777" w:rsidR="001726C9" w:rsidRPr="00117F42" w:rsidRDefault="001726C9" w:rsidP="00913AD0">
            <w:pPr>
              <w:jc w:val="center"/>
              <w:rPr>
                <w:szCs w:val="20"/>
              </w:rPr>
            </w:pPr>
            <w:r w:rsidRPr="00117F42">
              <w:rPr>
                <w:rFonts w:eastAsia="Verdana" w:cs="Verdana"/>
                <w:color w:val="000000" w:themeColor="text1"/>
                <w:szCs w:val="20"/>
                <w:lang w:val="en-GB"/>
              </w:rPr>
              <w:t>Klas</w:t>
            </w:r>
            <w:r>
              <w:rPr>
                <w:rFonts w:eastAsia="Verdana" w:cs="Verdana"/>
                <w:color w:val="000000" w:themeColor="text1"/>
                <w:szCs w:val="20"/>
                <w:lang w:val="en-GB"/>
              </w:rPr>
              <w:t>:</w:t>
            </w:r>
          </w:p>
        </w:tc>
        <w:tc>
          <w:tcPr>
            <w:tcW w:w="1897" w:type="dxa"/>
            <w:shd w:val="clear" w:color="auto" w:fill="E8E8E8" w:themeFill="background2"/>
          </w:tcPr>
          <w:p w14:paraId="1FCA554F" w14:textId="77777777" w:rsidR="001726C9" w:rsidRPr="00117F42" w:rsidRDefault="001726C9" w:rsidP="00913AD0">
            <w:pPr>
              <w:jc w:val="center"/>
              <w:rPr>
                <w:szCs w:val="20"/>
              </w:rPr>
            </w:pPr>
            <w:r w:rsidRPr="00117F42">
              <w:rPr>
                <w:rFonts w:eastAsia="Verdana" w:cs="Verdana"/>
                <w:szCs w:val="20"/>
              </w:rPr>
              <w:t>2vmbo</w:t>
            </w:r>
          </w:p>
        </w:tc>
        <w:tc>
          <w:tcPr>
            <w:tcW w:w="1898" w:type="dxa"/>
            <w:shd w:val="clear" w:color="auto" w:fill="E8E8E8" w:themeFill="background2"/>
          </w:tcPr>
          <w:p w14:paraId="30378780" w14:textId="77777777" w:rsidR="001726C9" w:rsidRPr="00117F42" w:rsidRDefault="001726C9" w:rsidP="00913AD0">
            <w:pPr>
              <w:jc w:val="center"/>
              <w:rPr>
                <w:szCs w:val="20"/>
              </w:rPr>
            </w:pPr>
            <w:r w:rsidRPr="00117F42">
              <w:rPr>
                <w:rFonts w:eastAsia="Verdana" w:cs="Verdana"/>
                <w:color w:val="000000" w:themeColor="text1"/>
                <w:szCs w:val="20"/>
                <w:lang w:val="en-GB"/>
              </w:rPr>
              <w:t>Aantal lessen</w:t>
            </w:r>
            <w:r>
              <w:rPr>
                <w:rFonts w:eastAsia="Verdana" w:cs="Verdana"/>
                <w:color w:val="000000" w:themeColor="text1"/>
                <w:szCs w:val="20"/>
                <w:lang w:val="en-GB"/>
              </w:rPr>
              <w:t>:</w:t>
            </w:r>
          </w:p>
        </w:tc>
        <w:tc>
          <w:tcPr>
            <w:tcW w:w="1898" w:type="dxa"/>
            <w:shd w:val="clear" w:color="auto" w:fill="E8E8E8" w:themeFill="background2"/>
          </w:tcPr>
          <w:p w14:paraId="5D55FE22" w14:textId="77777777" w:rsidR="001726C9" w:rsidRPr="00117F42" w:rsidRDefault="001726C9" w:rsidP="00913AD0">
            <w:pPr>
              <w:jc w:val="center"/>
              <w:rPr>
                <w:szCs w:val="20"/>
              </w:rPr>
            </w:pPr>
            <w:r>
              <w:rPr>
                <w:rFonts w:eastAsia="Segoe UI" w:cs="Segoe UI"/>
                <w:color w:val="000000" w:themeColor="text1"/>
                <w:szCs w:val="20"/>
              </w:rPr>
              <w:t>2</w:t>
            </w:r>
            <w:r w:rsidRPr="00117F42">
              <w:rPr>
                <w:rFonts w:eastAsia="Segoe UI" w:cs="Segoe UI"/>
                <w:color w:val="000000" w:themeColor="text1"/>
                <w:szCs w:val="20"/>
              </w:rPr>
              <w:t>e van 3</w:t>
            </w:r>
          </w:p>
        </w:tc>
      </w:tr>
      <w:tr w:rsidR="001726C9" w14:paraId="5FF4044C" w14:textId="77777777" w:rsidTr="00913A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2E81F" w14:textId="77777777" w:rsidR="001726C9" w:rsidRDefault="001726C9" w:rsidP="00913AD0">
            <w:pPr>
              <w:jc w:val="both"/>
              <w:rPr>
                <w:rFonts w:eastAsia="Verdana" w:cs="Verdana"/>
                <w:szCs w:val="20"/>
              </w:rPr>
            </w:pPr>
            <w:r w:rsidRPr="00965999">
              <w:rPr>
                <w:rFonts w:eastAsia="Verdana" w:cs="Verdana"/>
                <w:szCs w:val="20"/>
                <w:u w:val="single"/>
              </w:rPr>
              <w:t>Omschrijving</w:t>
            </w:r>
          </w:p>
          <w:p w14:paraId="474FEAEB" w14:textId="77777777" w:rsidR="001726C9" w:rsidRDefault="001726C9" w:rsidP="00913AD0">
            <w:pPr>
              <w:jc w:val="both"/>
              <w:rPr>
                <w:rFonts w:eastAsia="Verdana" w:cs="Verdana"/>
                <w:szCs w:val="20"/>
              </w:rPr>
            </w:pPr>
            <w:r w:rsidRPr="13506229">
              <w:rPr>
                <w:rFonts w:eastAsia="Verdana" w:cs="Verdana"/>
                <w:szCs w:val="20"/>
              </w:rPr>
              <w:t>Leerlingen leren hoe snel erosie en verwering gaan volgens de wetenschap en leren waarom de Bijbel een geloofwaardig alternatief hiervoor geeft.</w:t>
            </w:r>
          </w:p>
        </w:tc>
      </w:tr>
      <w:tr w:rsidR="001726C9" w14:paraId="011951F8" w14:textId="77777777" w:rsidTr="00913A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20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5CA07" w14:textId="77777777" w:rsidR="001726C9" w:rsidRDefault="001726C9" w:rsidP="00913AD0">
            <w:pPr>
              <w:jc w:val="both"/>
              <w:rPr>
                <w:rFonts w:eastAsia="Verdana" w:cs="Verdana"/>
                <w:szCs w:val="20"/>
              </w:rPr>
            </w:pPr>
            <w:r w:rsidRPr="13506229">
              <w:rPr>
                <w:rFonts w:eastAsia="Verdana" w:cs="Verdana"/>
                <w:szCs w:val="20"/>
                <w:u w:val="single"/>
              </w:rPr>
              <w:t>Doelen</w:t>
            </w:r>
            <w:r w:rsidRPr="13506229">
              <w:rPr>
                <w:rFonts w:eastAsia="Verdana" w:cs="Verdana"/>
                <w:szCs w:val="20"/>
              </w:rPr>
              <w:t xml:space="preserve"> </w:t>
            </w:r>
          </w:p>
          <w:p w14:paraId="09343009" w14:textId="77777777" w:rsidR="001726C9" w:rsidRDefault="001726C9" w:rsidP="001726C9">
            <w:pPr>
              <w:pStyle w:val="Lijstalinea"/>
              <w:numPr>
                <w:ilvl w:val="0"/>
                <w:numId w:val="1"/>
              </w:numPr>
              <w:jc w:val="both"/>
              <w:rPr>
                <w:rFonts w:eastAsia="Verdana" w:cs="Verdana"/>
                <w:szCs w:val="20"/>
              </w:rPr>
            </w:pPr>
            <w:proofErr w:type="gramStart"/>
            <w:r w:rsidRPr="13506229">
              <w:rPr>
                <w:rFonts w:eastAsia="Verdana" w:cs="Verdana"/>
                <w:szCs w:val="20"/>
              </w:rPr>
              <w:t>leerlingen</w:t>
            </w:r>
            <w:proofErr w:type="gramEnd"/>
            <w:r w:rsidRPr="13506229">
              <w:rPr>
                <w:rFonts w:eastAsia="Verdana" w:cs="Verdana"/>
                <w:szCs w:val="20"/>
              </w:rPr>
              <w:t xml:space="preserve"> kennen de begrippen erosie en verwering en kunnen aan plaatjes zien om welke vorm het gaat</w:t>
            </w:r>
          </w:p>
          <w:p w14:paraId="3223734E" w14:textId="77777777" w:rsidR="001726C9" w:rsidRDefault="001726C9" w:rsidP="001726C9">
            <w:pPr>
              <w:pStyle w:val="Lijstalinea"/>
              <w:numPr>
                <w:ilvl w:val="0"/>
                <w:numId w:val="1"/>
              </w:numPr>
              <w:jc w:val="both"/>
              <w:rPr>
                <w:rFonts w:eastAsia="Verdana" w:cs="Verdana"/>
                <w:szCs w:val="20"/>
              </w:rPr>
            </w:pPr>
            <w:proofErr w:type="gramStart"/>
            <w:r w:rsidRPr="13506229">
              <w:rPr>
                <w:rFonts w:eastAsia="Verdana" w:cs="Verdana"/>
                <w:szCs w:val="20"/>
              </w:rPr>
              <w:t>leerlingen</w:t>
            </w:r>
            <w:proofErr w:type="gramEnd"/>
            <w:r w:rsidRPr="13506229">
              <w:rPr>
                <w:rFonts w:eastAsia="Verdana" w:cs="Verdana"/>
                <w:szCs w:val="20"/>
              </w:rPr>
              <w:t xml:space="preserve"> kunnen deze processen, m.b.v. een jonge aarde paradigma uitleggen en verklaren</w:t>
            </w:r>
          </w:p>
          <w:p w14:paraId="150B4D5B" w14:textId="77777777" w:rsidR="001726C9" w:rsidRDefault="001726C9" w:rsidP="001726C9">
            <w:pPr>
              <w:pStyle w:val="Lijstalinea"/>
              <w:numPr>
                <w:ilvl w:val="0"/>
                <w:numId w:val="1"/>
              </w:numPr>
              <w:jc w:val="both"/>
              <w:rPr>
                <w:rFonts w:eastAsia="Verdana" w:cs="Verdana"/>
                <w:szCs w:val="20"/>
              </w:rPr>
            </w:pPr>
            <w:proofErr w:type="gramStart"/>
            <w:r w:rsidRPr="13506229">
              <w:rPr>
                <w:rFonts w:eastAsia="Verdana" w:cs="Verdana"/>
                <w:szCs w:val="20"/>
              </w:rPr>
              <w:t>leerlingen</w:t>
            </w:r>
            <w:proofErr w:type="gramEnd"/>
            <w:r w:rsidRPr="13506229">
              <w:rPr>
                <w:rFonts w:eastAsia="Verdana" w:cs="Verdana"/>
                <w:szCs w:val="20"/>
              </w:rPr>
              <w:t xml:space="preserve"> begrijpen dat mensen die niet in de bijbel geloven deze processen alleen maar als zeer langzaam herkennen.</w:t>
            </w:r>
          </w:p>
          <w:p w14:paraId="6DA3639D" w14:textId="77777777" w:rsidR="001726C9" w:rsidRDefault="001726C9" w:rsidP="00913AD0">
            <w:pPr>
              <w:jc w:val="both"/>
              <w:rPr>
                <w:rFonts w:eastAsia="Verdana" w:cs="Verdana"/>
                <w:szCs w:val="20"/>
              </w:rPr>
            </w:pPr>
            <w:r w:rsidRPr="13506229">
              <w:rPr>
                <w:rFonts w:eastAsia="Verdana" w:cs="Verdana"/>
                <w:szCs w:val="20"/>
              </w:rPr>
              <w:t xml:space="preserve"> </w:t>
            </w:r>
          </w:p>
          <w:p w14:paraId="303169C9" w14:textId="77777777" w:rsidR="001726C9" w:rsidRDefault="001726C9" w:rsidP="00913AD0">
            <w:pPr>
              <w:jc w:val="both"/>
              <w:rPr>
                <w:rFonts w:eastAsia="Verdana" w:cs="Verdana"/>
                <w:szCs w:val="20"/>
              </w:rPr>
            </w:pPr>
            <w:r w:rsidRPr="13506229">
              <w:rPr>
                <w:rFonts w:eastAsia="Verdana" w:cs="Verdana"/>
                <w:szCs w:val="20"/>
                <w:u w:val="single"/>
              </w:rPr>
              <w:t>Inhoud en verloop</w:t>
            </w:r>
            <w:r w:rsidRPr="13506229">
              <w:rPr>
                <w:rFonts w:eastAsia="Verdana" w:cs="Verdana"/>
                <w:szCs w:val="20"/>
              </w:rPr>
              <w:t xml:space="preserve"> </w:t>
            </w:r>
          </w:p>
          <w:p w14:paraId="72B3FF49" w14:textId="77777777" w:rsidR="001726C9" w:rsidRDefault="001726C9" w:rsidP="00913AD0">
            <w:pPr>
              <w:jc w:val="both"/>
              <w:rPr>
                <w:rFonts w:eastAsia="Verdana" w:cs="Verdana"/>
                <w:szCs w:val="20"/>
              </w:rPr>
            </w:pPr>
            <w:r w:rsidRPr="13506229">
              <w:rPr>
                <w:rFonts w:eastAsia="Verdana" w:cs="Verdana"/>
                <w:szCs w:val="20"/>
              </w:rPr>
              <w:t>Leerlingen krijgen het plaatje van een rivierdal te zien, met daarbij de vraag op het bord hoe dit reliëf is gevormd. Vervolgens de vraag hoe lang dit heeft geduurd.</w:t>
            </w:r>
          </w:p>
          <w:p w14:paraId="7E55875B" w14:textId="77777777" w:rsidR="001726C9" w:rsidRDefault="001726C9" w:rsidP="00913AD0">
            <w:pPr>
              <w:jc w:val="both"/>
              <w:rPr>
                <w:rFonts w:eastAsia="Verdana" w:cs="Verdana"/>
              </w:rPr>
            </w:pPr>
            <w:r w:rsidRPr="7AEC88D5">
              <w:rPr>
                <w:rFonts w:eastAsia="Verdana" w:cs="Verdana"/>
              </w:rPr>
              <w:t xml:space="preserve">Onderwijsleergesprek over verwering; laat een geklapt gesteente zien, laat leerlingen nadenken over wat platenwortels doen met stenen. Laat een roestige fiets zien, leg uit dat dit ook verwering is. Vervolgens </w:t>
            </w:r>
            <w:r>
              <w:rPr>
                <w:rFonts w:eastAsia="Verdana" w:cs="Verdana"/>
              </w:rPr>
              <w:t>een p</w:t>
            </w:r>
            <w:r w:rsidRPr="7AEC88D5">
              <w:rPr>
                <w:rFonts w:eastAsia="Verdana" w:cs="Verdana"/>
              </w:rPr>
              <w:t>laatje van chemische verweerde steen.</w:t>
            </w:r>
          </w:p>
          <w:p w14:paraId="3236A75E" w14:textId="77777777" w:rsidR="001726C9" w:rsidRDefault="001726C9" w:rsidP="00913AD0">
            <w:pPr>
              <w:jc w:val="both"/>
              <w:rPr>
                <w:rFonts w:eastAsia="Verdana" w:cs="Verdana"/>
                <w:szCs w:val="20"/>
              </w:rPr>
            </w:pPr>
            <w:r w:rsidRPr="13506229">
              <w:rPr>
                <w:rFonts w:eastAsia="Verdana" w:cs="Verdana"/>
                <w:szCs w:val="20"/>
              </w:rPr>
              <w:t xml:space="preserve">Opnieuw het rivierdal, met de vraag of verwering dit gedaan heeft. Leerlingen zullen tot de conclusie komen dat er meer aan de hand is. Link naar erosie </w:t>
            </w:r>
            <w:r w:rsidRPr="00A90623">
              <w:rPr>
                <w:rFonts w:eastAsia="Verdana" w:cs="Verdana"/>
                <w:szCs w:val="20"/>
              </w:rPr>
              <w:t>à</w:t>
            </w:r>
            <w:r w:rsidRPr="13506229">
              <w:rPr>
                <w:rFonts w:eastAsia="Verdana" w:cs="Verdana"/>
                <w:szCs w:val="20"/>
              </w:rPr>
              <w:t xml:space="preserve"> leerlingen laten zien hoe verschillende vormen van erosie ontstaan, met veel beeldmateriaal. </w:t>
            </w:r>
          </w:p>
          <w:p w14:paraId="75BF9DFB" w14:textId="77777777" w:rsidR="001726C9" w:rsidRDefault="001726C9" w:rsidP="00913AD0">
            <w:pPr>
              <w:jc w:val="both"/>
              <w:rPr>
                <w:rFonts w:eastAsia="Verdana" w:cs="Verdana"/>
              </w:rPr>
            </w:pPr>
            <w:r w:rsidRPr="01A2EFA1">
              <w:rPr>
                <w:rFonts w:eastAsia="Verdana" w:cs="Verdana"/>
              </w:rPr>
              <w:t xml:space="preserve">Verwijs naar het filmpje van Mt. St. Helens (uit de eerste minuten van 'Is Genesis </w:t>
            </w:r>
            <w:proofErr w:type="spellStart"/>
            <w:r w:rsidRPr="01A2EFA1">
              <w:rPr>
                <w:rFonts w:eastAsia="Verdana" w:cs="Verdana"/>
              </w:rPr>
              <w:t>History</w:t>
            </w:r>
            <w:proofErr w:type="spellEnd"/>
            <w:r w:rsidRPr="01A2EFA1">
              <w:rPr>
                <w:rFonts w:eastAsia="Verdana" w:cs="Verdana"/>
              </w:rPr>
              <w:t xml:space="preserve">, </w:t>
            </w:r>
            <w:r>
              <w:rPr>
                <w:rFonts w:eastAsia="Verdana" w:cs="Verdana"/>
              </w:rPr>
              <w:t xml:space="preserve">ook </w:t>
            </w:r>
            <w:r w:rsidRPr="01A2EFA1">
              <w:rPr>
                <w:rFonts w:eastAsia="Verdana" w:cs="Verdana"/>
              </w:rPr>
              <w:t xml:space="preserve">op </w:t>
            </w:r>
            <w:proofErr w:type="spellStart"/>
            <w:r w:rsidRPr="01A2EFA1">
              <w:rPr>
                <w:rFonts w:eastAsia="Verdana" w:cs="Verdana"/>
              </w:rPr>
              <w:t>Youtube</w:t>
            </w:r>
            <w:proofErr w:type="spellEnd"/>
            <w:r w:rsidRPr="01A2EFA1">
              <w:rPr>
                <w:rFonts w:eastAsia="Verdana" w:cs="Verdana"/>
              </w:rPr>
              <w:t xml:space="preserve"> te vinden), laat zien dat erosie in een kwestie van uren kan. Als er maar de juiste omstandigheden zijn. Die waren er tijdens de zondvloed, toen de aarde openbrak.</w:t>
            </w:r>
          </w:p>
          <w:p w14:paraId="531CA868" w14:textId="77777777" w:rsidR="001726C9" w:rsidRDefault="001726C9" w:rsidP="00913AD0">
            <w:pPr>
              <w:jc w:val="both"/>
              <w:rPr>
                <w:rFonts w:eastAsia="Verdana" w:cs="Verdana"/>
              </w:rPr>
            </w:pPr>
          </w:p>
          <w:p w14:paraId="0D75924C" w14:textId="77777777" w:rsidR="001726C9" w:rsidRDefault="001726C9" w:rsidP="00913AD0">
            <w:pPr>
              <w:jc w:val="both"/>
              <w:rPr>
                <w:rFonts w:eastAsia="Verdana" w:cs="Verdana"/>
              </w:rPr>
            </w:pPr>
            <w:proofErr w:type="gramStart"/>
            <w:r w:rsidRPr="33F1E5EC">
              <w:rPr>
                <w:rFonts w:eastAsia="Verdana" w:cs="Verdana"/>
              </w:rPr>
              <w:t>ppt</w:t>
            </w:r>
            <w:proofErr w:type="gramEnd"/>
            <w:r w:rsidRPr="33F1E5EC">
              <w:rPr>
                <w:rFonts w:eastAsia="Verdana" w:cs="Verdana"/>
              </w:rPr>
              <w:t>2</w:t>
            </w:r>
          </w:p>
          <w:p w14:paraId="727A3264" w14:textId="77777777" w:rsidR="001726C9" w:rsidRDefault="001726C9" w:rsidP="00913AD0">
            <w:pPr>
              <w:jc w:val="both"/>
              <w:rPr>
                <w:rFonts w:eastAsia="Verdana" w:cs="Verdana"/>
                <w:szCs w:val="20"/>
              </w:rPr>
            </w:pPr>
            <w:r w:rsidRPr="13506229">
              <w:rPr>
                <w:rFonts w:eastAsia="Verdana" w:cs="Verdana"/>
                <w:szCs w:val="20"/>
              </w:rPr>
              <w:t xml:space="preserve"> </w:t>
            </w:r>
          </w:p>
          <w:p w14:paraId="54EC1CCA" w14:textId="77777777" w:rsidR="001726C9" w:rsidRDefault="001726C9" w:rsidP="00913AD0">
            <w:pPr>
              <w:jc w:val="both"/>
              <w:rPr>
                <w:rFonts w:eastAsia="Verdana" w:cs="Verdana"/>
              </w:rPr>
            </w:pPr>
          </w:p>
        </w:tc>
      </w:tr>
      <w:tr w:rsidR="001726C9" w14:paraId="65222AA7" w14:textId="77777777" w:rsidTr="00913AD0">
        <w:trPr>
          <w:trHeight w:val="300"/>
        </w:trPr>
        <w:tc>
          <w:tcPr>
            <w:tcW w:w="9488" w:type="dxa"/>
            <w:gridSpan w:val="5"/>
            <w:shd w:val="clear" w:color="auto" w:fill="E8E8E8" w:themeFill="background2"/>
          </w:tcPr>
          <w:p w14:paraId="436A4FBD" w14:textId="77777777" w:rsidR="001726C9" w:rsidRPr="00646C65" w:rsidRDefault="001726C9" w:rsidP="00913AD0">
            <w:pPr>
              <w:jc w:val="center"/>
              <w:rPr>
                <w:rFonts w:eastAsia="Verdana" w:cs="Verdana"/>
                <w:i/>
                <w:iCs/>
                <w:color w:val="000000" w:themeColor="text1"/>
                <w:szCs w:val="20"/>
              </w:rPr>
            </w:pPr>
            <w:r w:rsidRPr="26F8BF3C">
              <w:t xml:space="preserve"> </w:t>
            </w: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Deze les is ontworpen op basis van de didactische diamant.</w:t>
            </w:r>
          </w:p>
          <w:p w14:paraId="6081EBC9" w14:textId="77777777" w:rsidR="001726C9" w:rsidRPr="00646C65" w:rsidRDefault="001726C9" w:rsidP="00913AD0">
            <w:pPr>
              <w:jc w:val="center"/>
              <w:rPr>
                <w:szCs w:val="20"/>
              </w:rPr>
            </w:pP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Onderzoekscentrum Driestar educatief Gouda.</w:t>
            </w:r>
          </w:p>
          <w:p w14:paraId="733F796C" w14:textId="77777777" w:rsidR="001726C9" w:rsidRPr="00117F42" w:rsidRDefault="001726C9" w:rsidP="00913AD0">
            <w:pPr>
              <w:jc w:val="center"/>
              <w:rPr>
                <w:szCs w:val="20"/>
              </w:rPr>
            </w:pP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 xml:space="preserve">Verspreiding toegestaan </w:t>
            </w:r>
            <w:proofErr w:type="gramStart"/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indien</w:t>
            </w:r>
            <w:proofErr w:type="gramEnd"/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 xml:space="preserve"> de bron vermeld wordt.</w:t>
            </w:r>
          </w:p>
        </w:tc>
      </w:tr>
    </w:tbl>
    <w:p w14:paraId="2D580D5A" w14:textId="77777777" w:rsidR="009E240C" w:rsidRDefault="009E240C"/>
    <w:sectPr w:rsidR="009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2229A"/>
    <w:multiLevelType w:val="hybridMultilevel"/>
    <w:tmpl w:val="3FC4D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76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C9"/>
    <w:rsid w:val="00132B3D"/>
    <w:rsid w:val="00163B1B"/>
    <w:rsid w:val="001726C9"/>
    <w:rsid w:val="0073174A"/>
    <w:rsid w:val="008D77C8"/>
    <w:rsid w:val="009E240C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FCDE"/>
  <w15:chartTrackingRefBased/>
  <w15:docId w15:val="{11769BF7-1B2C-49A9-A1E7-C4821039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6C9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72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2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72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2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2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26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26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26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26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2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2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172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26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26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26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26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26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26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26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2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2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2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2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26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26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26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2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26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2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1</cp:revision>
  <dcterms:created xsi:type="dcterms:W3CDTF">2024-06-19T10:11:00Z</dcterms:created>
  <dcterms:modified xsi:type="dcterms:W3CDTF">2024-06-19T10:11:00Z</dcterms:modified>
</cp:coreProperties>
</file>