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A637" w14:textId="77777777" w:rsidR="00BA3FE6" w:rsidRPr="0047371F" w:rsidRDefault="00BA3FE6" w:rsidP="00BA3FE6">
      <w:pPr>
        <w:pStyle w:val="Kop3"/>
        <w:jc w:val="both"/>
        <w:rPr>
          <w:b/>
        </w:rPr>
      </w:pPr>
      <w:bookmarkStart w:id="0" w:name="_Toc168738314"/>
      <w:r>
        <w:t>Les 1. Een casus over voedselvoorziening en milieu</w:t>
      </w:r>
      <w:bookmarkEnd w:id="0"/>
    </w:p>
    <w:p w14:paraId="74805CD3" w14:textId="77777777" w:rsidR="00BA3FE6" w:rsidRPr="0047371F" w:rsidRDefault="00BA3FE6" w:rsidP="00BA3FE6">
      <w:pPr>
        <w:jc w:val="both"/>
      </w:pP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BA3FE6" w14:paraId="6A4BF033" w14:textId="77777777" w:rsidTr="00DC5B35">
        <w:tc>
          <w:tcPr>
            <w:tcW w:w="1785" w:type="dxa"/>
            <w:shd w:val="clear" w:color="auto" w:fill="E8E8E8" w:themeFill="background2"/>
          </w:tcPr>
          <w:p w14:paraId="7B760A7A" w14:textId="77777777" w:rsidR="00BA3FE6" w:rsidRDefault="00BA3FE6" w:rsidP="00DC5B35">
            <w:pPr>
              <w:jc w:val="center"/>
            </w:pPr>
            <w:r>
              <w:t>Aardrijkskunde</w:t>
            </w:r>
          </w:p>
        </w:tc>
        <w:tc>
          <w:tcPr>
            <w:tcW w:w="1785" w:type="dxa"/>
            <w:shd w:val="clear" w:color="auto" w:fill="E8E8E8" w:themeFill="background2"/>
          </w:tcPr>
          <w:p w14:paraId="7A7CE606" w14:textId="77777777" w:rsidR="00BA3FE6" w:rsidRDefault="00BA3FE6" w:rsidP="00DC5B35">
            <w:pPr>
              <w:jc w:val="center"/>
            </w:pPr>
            <w:r>
              <w:t>Klas:</w:t>
            </w:r>
          </w:p>
        </w:tc>
        <w:tc>
          <w:tcPr>
            <w:tcW w:w="1785" w:type="dxa"/>
            <w:shd w:val="clear" w:color="auto" w:fill="E8E8E8" w:themeFill="background2"/>
          </w:tcPr>
          <w:p w14:paraId="24917030" w14:textId="77777777" w:rsidR="00BA3FE6" w:rsidRDefault="00BA3FE6" w:rsidP="00DC5B35">
            <w:pPr>
              <w:jc w:val="center"/>
            </w:pPr>
            <w:r>
              <w:t>4Havo</w:t>
            </w:r>
          </w:p>
        </w:tc>
        <w:tc>
          <w:tcPr>
            <w:tcW w:w="1785" w:type="dxa"/>
            <w:shd w:val="clear" w:color="auto" w:fill="E8E8E8" w:themeFill="background2"/>
          </w:tcPr>
          <w:p w14:paraId="7A89AC96" w14:textId="77777777" w:rsidR="00BA3FE6" w:rsidRDefault="00BA3FE6" w:rsidP="00DC5B35">
            <w:pPr>
              <w:jc w:val="center"/>
            </w:pPr>
            <w:r>
              <w:t>Aantal lessen:</w:t>
            </w:r>
          </w:p>
        </w:tc>
        <w:tc>
          <w:tcPr>
            <w:tcW w:w="1786" w:type="dxa"/>
            <w:shd w:val="clear" w:color="auto" w:fill="E8E8E8" w:themeFill="background2"/>
          </w:tcPr>
          <w:p w14:paraId="0EAEFDD1" w14:textId="77777777" w:rsidR="00BA3FE6" w:rsidRPr="00931904" w:rsidRDefault="00BA3FE6" w:rsidP="00DC5B35">
            <w:pPr>
              <w:jc w:val="center"/>
            </w:pPr>
            <w:r>
              <w:t>1</w:t>
            </w:r>
          </w:p>
        </w:tc>
      </w:tr>
      <w:tr w:rsidR="00BA3FE6" w:rsidRPr="001E3E4A" w14:paraId="5DF5E08D" w14:textId="77777777" w:rsidTr="00DC5B35">
        <w:trPr>
          <w:trHeight w:val="990"/>
        </w:trPr>
        <w:tc>
          <w:tcPr>
            <w:tcW w:w="8926" w:type="dxa"/>
            <w:gridSpan w:val="5"/>
          </w:tcPr>
          <w:p w14:paraId="7E4AB3FC" w14:textId="77777777" w:rsidR="00BA3FE6" w:rsidRDefault="00BA3FE6" w:rsidP="00DC5B35">
            <w:pPr>
              <w:jc w:val="both"/>
            </w:pPr>
            <w:r w:rsidRPr="007052C7">
              <w:rPr>
                <w:u w:val="single"/>
              </w:rPr>
              <w:t>Omschrijving</w:t>
            </w:r>
          </w:p>
          <w:p w14:paraId="12E7B420" w14:textId="77777777" w:rsidR="00BA3FE6" w:rsidRPr="00607CA0" w:rsidRDefault="00BA3FE6" w:rsidP="00DC5B35">
            <w:pPr>
              <w:jc w:val="both"/>
            </w:pPr>
            <w:r w:rsidRPr="00607CA0">
              <w:t>De leerlingen lezen de tekst van de casus en gaan daarna in gesprek over de verwerkingsvragen. Consensus is geen doel. Wel bewustwording en verwoording van standpunten</w:t>
            </w:r>
          </w:p>
        </w:tc>
      </w:tr>
      <w:tr w:rsidR="00BA3FE6" w14:paraId="32A5D541" w14:textId="77777777" w:rsidTr="00DC5B35">
        <w:trPr>
          <w:trHeight w:val="3444"/>
        </w:trPr>
        <w:tc>
          <w:tcPr>
            <w:tcW w:w="8926" w:type="dxa"/>
            <w:gridSpan w:val="5"/>
          </w:tcPr>
          <w:p w14:paraId="3CB47284" w14:textId="77777777" w:rsidR="00BA3FE6" w:rsidRDefault="00BA3FE6" w:rsidP="00DC5B35">
            <w:pPr>
              <w:jc w:val="both"/>
              <w:rPr>
                <w:u w:val="single"/>
              </w:rPr>
            </w:pPr>
            <w:r w:rsidRPr="00EC581A">
              <w:rPr>
                <w:u w:val="single"/>
              </w:rPr>
              <w:t>Doelen</w:t>
            </w:r>
          </w:p>
          <w:p w14:paraId="7199FE01" w14:textId="77777777" w:rsidR="00BA3FE6" w:rsidRPr="001C13E1" w:rsidRDefault="00BA3FE6" w:rsidP="00BA3FE6">
            <w:pPr>
              <w:pStyle w:val="Lijstalinea"/>
              <w:numPr>
                <w:ilvl w:val="0"/>
                <w:numId w:val="1"/>
              </w:numPr>
              <w:jc w:val="both"/>
            </w:pPr>
            <w:r>
              <w:t xml:space="preserve">Leerlingen leren om opvattingen op waarde te schatten (Heiko en </w:t>
            </w:r>
            <w:proofErr w:type="spellStart"/>
            <w:r>
              <w:t>Annegien</w:t>
            </w:r>
            <w:proofErr w:type="spellEnd"/>
            <w:r>
              <w:t xml:space="preserve"> uit de tekst)</w:t>
            </w:r>
          </w:p>
          <w:p w14:paraId="3BB25437" w14:textId="77777777" w:rsidR="00BA3FE6" w:rsidRPr="001C13E1" w:rsidRDefault="00BA3FE6" w:rsidP="00BA3FE6">
            <w:pPr>
              <w:pStyle w:val="Lijstalinea"/>
              <w:numPr>
                <w:ilvl w:val="0"/>
                <w:numId w:val="1"/>
              </w:numPr>
              <w:jc w:val="both"/>
            </w:pPr>
            <w:r>
              <w:t>Leerlingen formuleren hun standpunt rond het thema rentmeesterschap (wat gaat over de wereld én haar bevolking)</w:t>
            </w:r>
          </w:p>
          <w:p w14:paraId="43559287" w14:textId="77777777" w:rsidR="00BA3FE6" w:rsidRPr="001C13E1" w:rsidRDefault="00BA3FE6" w:rsidP="00BA3FE6">
            <w:pPr>
              <w:pStyle w:val="Lijstalinea"/>
              <w:numPr>
                <w:ilvl w:val="0"/>
                <w:numId w:val="1"/>
              </w:numPr>
              <w:jc w:val="both"/>
            </w:pPr>
            <w:r>
              <w:t>Leerlingen formuleren een eigen bijdrage om de ecologische voetafdruk te verkleinen</w:t>
            </w:r>
          </w:p>
          <w:p w14:paraId="44E328FF" w14:textId="77777777" w:rsidR="00BA3FE6" w:rsidRDefault="00BA3FE6" w:rsidP="00DC5B35">
            <w:pPr>
              <w:jc w:val="both"/>
            </w:pPr>
          </w:p>
          <w:p w14:paraId="59A8A450" w14:textId="77777777" w:rsidR="00BA3FE6" w:rsidRPr="00EC581A" w:rsidRDefault="00BA3FE6" w:rsidP="00DC5B35">
            <w:pPr>
              <w:jc w:val="both"/>
              <w:rPr>
                <w:u w:val="single"/>
              </w:rPr>
            </w:pPr>
            <w:r w:rsidRPr="00EC581A">
              <w:rPr>
                <w:u w:val="single"/>
              </w:rPr>
              <w:t>Inhoud en verloop</w:t>
            </w:r>
          </w:p>
          <w:p w14:paraId="35B47D8F" w14:textId="77777777" w:rsidR="00BA3FE6" w:rsidRPr="00A8002D" w:rsidRDefault="00BA3FE6" w:rsidP="00DC5B35">
            <w:pPr>
              <w:jc w:val="both"/>
            </w:pPr>
            <w:r w:rsidRPr="00A8002D">
              <w:t xml:space="preserve">De leerlingen lezen de tekst uit bijlage: </w:t>
            </w:r>
            <w:hyperlink r:id="rId5">
              <w:r w:rsidRPr="00A8002D">
                <w:rPr>
                  <w:rStyle w:val="Hyperlink"/>
                  <w:color w:val="auto"/>
                  <w:u w:val="none"/>
                </w:rPr>
                <w:t>Casus les 1 Globalisering</w:t>
              </w:r>
            </w:hyperlink>
          </w:p>
          <w:p w14:paraId="6841B163" w14:textId="77777777" w:rsidR="00BA3FE6" w:rsidRPr="00A8002D" w:rsidRDefault="00BA3FE6" w:rsidP="00DC5B35">
            <w:pPr>
              <w:jc w:val="both"/>
            </w:pPr>
          </w:p>
          <w:p w14:paraId="3B3F0605" w14:textId="77777777" w:rsidR="00BA3FE6" w:rsidRPr="00A8002D" w:rsidRDefault="00BA3FE6" w:rsidP="00DC5B35">
            <w:pPr>
              <w:jc w:val="both"/>
            </w:pPr>
            <w:r w:rsidRPr="003A486A">
              <w:rPr>
                <w:u w:val="single"/>
              </w:rPr>
              <w:t>Werkvorm</w:t>
            </w:r>
          </w:p>
          <w:p w14:paraId="7BD6CC99" w14:textId="77777777" w:rsidR="00BA3FE6" w:rsidRPr="00A8002D" w:rsidRDefault="00BA3FE6" w:rsidP="00DC5B35">
            <w:pPr>
              <w:jc w:val="both"/>
            </w:pPr>
            <w:r w:rsidRPr="00A8002D">
              <w:t xml:space="preserve">Een deel van de leerlingen bespreekt de vragen in een groepje van max. 4 personen. Bijlage: </w:t>
            </w:r>
            <w:hyperlink r:id="rId6">
              <w:r w:rsidRPr="00A8002D">
                <w:rPr>
                  <w:rStyle w:val="Hyperlink"/>
                  <w:color w:val="auto"/>
                  <w:u w:val="none"/>
                </w:rPr>
                <w:t>Verwerkingsvragen les 1</w:t>
              </w:r>
            </w:hyperlink>
          </w:p>
          <w:p w14:paraId="7A74012A" w14:textId="77777777" w:rsidR="00BA3FE6" w:rsidRPr="00A8002D" w:rsidRDefault="00BA3FE6" w:rsidP="00DC5B35">
            <w:pPr>
              <w:jc w:val="both"/>
            </w:pPr>
            <w:r w:rsidRPr="00A8002D">
              <w:t xml:space="preserve">Een deel van de leerlingen bespreekt de suggestie en het dilemma van de sperzieboontjes. Bijlage: </w:t>
            </w:r>
            <w:hyperlink r:id="rId7">
              <w:r w:rsidRPr="00A8002D">
                <w:rPr>
                  <w:rStyle w:val="Hyperlink"/>
                  <w:color w:val="auto"/>
                  <w:u w:val="none"/>
                </w:rPr>
                <w:t>het dilemma van de sperzieboontjes.</w:t>
              </w:r>
            </w:hyperlink>
          </w:p>
          <w:p w14:paraId="4F5DA490" w14:textId="77777777" w:rsidR="00BA3FE6" w:rsidRDefault="00BA3FE6" w:rsidP="00DC5B35">
            <w:pPr>
              <w:jc w:val="both"/>
            </w:pPr>
          </w:p>
          <w:p w14:paraId="567F0F56" w14:textId="77777777" w:rsidR="00BA3FE6" w:rsidRDefault="00BA3FE6" w:rsidP="00DC5B35">
            <w:pPr>
              <w:jc w:val="both"/>
            </w:pPr>
            <w:r>
              <w:t>De docent kiest zelf op welke manier de vragen/antwoorden worden nabesproken</w:t>
            </w:r>
          </w:p>
          <w:p w14:paraId="637C4D14" w14:textId="77777777" w:rsidR="00BA3FE6" w:rsidRDefault="00BA3FE6" w:rsidP="00DC5B35">
            <w:pPr>
              <w:jc w:val="both"/>
            </w:pPr>
          </w:p>
        </w:tc>
      </w:tr>
      <w:tr w:rsidR="00BA3FE6" w:rsidRPr="001E3E4A" w14:paraId="2081093E" w14:textId="77777777" w:rsidTr="00DC5B35">
        <w:tc>
          <w:tcPr>
            <w:tcW w:w="8926" w:type="dxa"/>
            <w:gridSpan w:val="5"/>
          </w:tcPr>
          <w:p w14:paraId="1EF2E20D" w14:textId="77777777" w:rsidR="00BA3FE6" w:rsidRPr="007052C7" w:rsidRDefault="00BA3FE6" w:rsidP="00DC5B35">
            <w:pPr>
              <w:jc w:val="both"/>
              <w:rPr>
                <w:u w:val="single"/>
              </w:rPr>
            </w:pPr>
            <w:r w:rsidRPr="007052C7">
              <w:rPr>
                <w:u w:val="single"/>
              </w:rPr>
              <w:t>Extra informatie</w:t>
            </w:r>
          </w:p>
          <w:p w14:paraId="66D6D27B" w14:textId="77777777" w:rsidR="00BA3FE6" w:rsidRDefault="00BA3FE6" w:rsidP="00DC5B35">
            <w:pPr>
              <w:jc w:val="both"/>
              <w:rPr>
                <w:rFonts w:eastAsia="Verdana" w:cs="Verdana"/>
                <w:szCs w:val="20"/>
              </w:rPr>
            </w:pPr>
            <w:r>
              <w:t xml:space="preserve">Bijna alles is overgenomen uit een praktijkboek voor Kerken onder de titel ‘geloofwaardig globaliseren’. </w:t>
            </w:r>
            <w:hyperlink r:id="rId8">
              <w:r w:rsidRPr="4D1FDD29">
                <w:rPr>
                  <w:rStyle w:val="Hyperlink"/>
                  <w:rFonts w:eastAsia="Verdana" w:cs="Verdana"/>
                  <w:szCs w:val="20"/>
                </w:rPr>
                <w:t>Praktijkboek Geloofwaardige Globalisering (bibalex.org)</w:t>
              </w:r>
            </w:hyperlink>
          </w:p>
          <w:p w14:paraId="5A5596A4" w14:textId="77777777" w:rsidR="00BA3FE6" w:rsidRDefault="00BA3FE6" w:rsidP="00DC5B35">
            <w:pPr>
              <w:jc w:val="both"/>
            </w:pPr>
          </w:p>
        </w:tc>
      </w:tr>
      <w:tr w:rsidR="00BA3FE6" w:rsidRPr="001E3E4A" w14:paraId="013B62EB" w14:textId="77777777" w:rsidTr="00DC5B35">
        <w:tc>
          <w:tcPr>
            <w:tcW w:w="8926" w:type="dxa"/>
            <w:gridSpan w:val="5"/>
            <w:shd w:val="clear" w:color="auto" w:fill="E8E8E8" w:themeFill="background2"/>
          </w:tcPr>
          <w:p w14:paraId="114C4613" w14:textId="77777777" w:rsidR="00BA3FE6" w:rsidRPr="00646C65" w:rsidRDefault="00BA3FE6" w:rsidP="00DC5B35">
            <w:pPr>
              <w:jc w:val="center"/>
              <w:rPr>
                <w:rFonts w:eastAsia="Verdana" w:cs="Verdana"/>
                <w:i/>
                <w:iCs/>
                <w:color w:val="000000" w:themeColor="text1"/>
                <w:szCs w:val="20"/>
              </w:rPr>
            </w:pPr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>Deze les is ontworpen op basis van de didactische diamant.</w:t>
            </w:r>
          </w:p>
          <w:p w14:paraId="3629035F" w14:textId="77777777" w:rsidR="00BA3FE6" w:rsidRPr="00646C65" w:rsidRDefault="00BA3FE6" w:rsidP="00DC5B35">
            <w:pPr>
              <w:jc w:val="center"/>
              <w:rPr>
                <w:szCs w:val="20"/>
              </w:rPr>
            </w:pPr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>Onderzoekscentrum Driestar educatief Gouda.</w:t>
            </w:r>
          </w:p>
          <w:p w14:paraId="5E731D64" w14:textId="77777777" w:rsidR="00BA3FE6" w:rsidRPr="007052C7" w:rsidRDefault="00BA3FE6" w:rsidP="00DC5B35">
            <w:pPr>
              <w:jc w:val="center"/>
              <w:rPr>
                <w:u w:val="single"/>
              </w:rPr>
            </w:pPr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 xml:space="preserve">Verspreiding toegestaan </w:t>
            </w:r>
            <w:proofErr w:type="gramStart"/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>indien</w:t>
            </w:r>
            <w:proofErr w:type="gramEnd"/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 xml:space="preserve"> de bron vermeld wordt.</w:t>
            </w:r>
          </w:p>
        </w:tc>
      </w:tr>
    </w:tbl>
    <w:p w14:paraId="1AB0C423" w14:textId="77777777" w:rsidR="009E240C" w:rsidRDefault="009E240C"/>
    <w:sectPr w:rsidR="009E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B45AE"/>
    <w:multiLevelType w:val="hybridMultilevel"/>
    <w:tmpl w:val="AF48C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2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E6"/>
    <w:rsid w:val="00163B1B"/>
    <w:rsid w:val="003A486A"/>
    <w:rsid w:val="0073174A"/>
    <w:rsid w:val="008D77C8"/>
    <w:rsid w:val="009E240C"/>
    <w:rsid w:val="00A63FD8"/>
    <w:rsid w:val="00A8002D"/>
    <w:rsid w:val="00B61510"/>
    <w:rsid w:val="00BA3FE6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F1AD"/>
  <w15:chartTrackingRefBased/>
  <w15:docId w15:val="{6AE4CE22-3D4A-422F-8FF5-5A45D4C6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3FE6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A3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3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A3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3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3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3F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3F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3F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3F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3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3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BA3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3FE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3FE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3FE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3FE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3FE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3F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3F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3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3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3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3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3F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3F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3FE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3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3FE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3FE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A3FE6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A3FE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alex.org/search4dev/files/297640/1274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estar.sharepoint.com/:w:/r/sites/Handreikingen/Gedeelde%20documenten/Aardrijkskunde/Werkdocumenten/Bijlages%20voor%20op%20de%20website/het%20dilemma%20van%20de%20sperzieboontjes.docx?d=wfd31f55840b44ad9bd3cff5297baf8b0&amp;csf=1&amp;web=1&amp;e=17fw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estar.sharepoint.com/:w:/r/sites/Handreikingen/Gedeelde%20documenten/Aardrijkskunde/Werkdocumenten/Bijlages%20voor%20op%20de%20website/Verwerkingsvragen%20les%201.docx?d=wa921daebcdce403898fdf9e1efacb359&amp;csf=1&amp;web=1&amp;e=H3qV8z" TargetMode="External"/><Relationship Id="rId5" Type="http://schemas.openxmlformats.org/officeDocument/2006/relationships/hyperlink" Target="https://driestar.sharepoint.com/:w:/r/sites/Handreikingen/Gedeelde%20documenten/Aardrijkskunde/Werkdocumenten/Bijlages%20voor%20op%20de%20website/les%201%20globalisering.docx?d=wa0351c1241ba4d668f3447c27452cc6b&amp;csf=1&amp;web=1&amp;e=u6OVs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Nobel-Eikelboom, Annemarie</dc:creator>
  <cp:keywords/>
  <dc:description/>
  <cp:lastModifiedBy>Nobel-Eikelboom, Annemarie</cp:lastModifiedBy>
  <cp:revision>3</cp:revision>
  <dcterms:created xsi:type="dcterms:W3CDTF">2024-06-18T18:36:00Z</dcterms:created>
  <dcterms:modified xsi:type="dcterms:W3CDTF">2024-07-09T08:18:00Z</dcterms:modified>
</cp:coreProperties>
</file>